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33D" w:rsidRPr="00D93C78" w:rsidRDefault="00C1433D" w:rsidP="00D93C78">
      <w:pPr>
        <w:pStyle w:val="CoverTitle"/>
        <w:rPr>
          <w:rFonts w:ascii="Times New Roman" w:hAnsi="Times New Roman"/>
          <w:szCs w:val="32"/>
        </w:rPr>
      </w:pPr>
      <w:r w:rsidRPr="00D93C78">
        <w:rPr>
          <w:rFonts w:ascii="Times New Roman" w:hAnsi="Times New Roman"/>
          <w:szCs w:val="32"/>
        </w:rPr>
        <w:t>SIDS Initial Assessment Report</w:t>
      </w:r>
    </w:p>
    <w:p w:rsidR="00C1433D" w:rsidRPr="00D93C78" w:rsidRDefault="00C1433D" w:rsidP="00D93C78">
      <w:pPr>
        <w:pStyle w:val="CoverTitle"/>
        <w:rPr>
          <w:rFonts w:ascii="Times New Roman" w:hAnsi="Times New Roman"/>
          <w:szCs w:val="32"/>
        </w:rPr>
      </w:pPr>
      <w:r w:rsidRPr="00D93C78">
        <w:rPr>
          <w:rFonts w:ascii="Times New Roman" w:hAnsi="Times New Roman"/>
          <w:szCs w:val="32"/>
        </w:rPr>
        <w:t>For</w:t>
      </w:r>
    </w:p>
    <w:p w:rsidR="00C1433D" w:rsidRPr="00D93C78" w:rsidRDefault="00195C8C" w:rsidP="00D93C78">
      <w:pPr>
        <w:pStyle w:val="CoverTitle"/>
        <w:rPr>
          <w:rFonts w:ascii="Times New Roman" w:hAnsi="Times New Roman"/>
          <w:szCs w:val="32"/>
        </w:rPr>
      </w:pPr>
      <w:r w:rsidRPr="00D93C78">
        <w:rPr>
          <w:rFonts w:ascii="Times New Roman" w:hAnsi="Times New Roman"/>
          <w:szCs w:val="32"/>
        </w:rPr>
        <w:t xml:space="preserve">CoCAM </w:t>
      </w:r>
      <w:r w:rsidR="00EE1AB4" w:rsidRPr="00D93C78">
        <w:rPr>
          <w:rFonts w:ascii="Times New Roman" w:hAnsi="Times New Roman"/>
          <w:szCs w:val="32"/>
        </w:rPr>
        <w:t>4</w:t>
      </w:r>
    </w:p>
    <w:p w:rsidR="00C1433D" w:rsidRPr="00D93C78" w:rsidRDefault="00BB51AC" w:rsidP="00D93C78">
      <w:pPr>
        <w:pStyle w:val="BodyText"/>
        <w:jc w:val="center"/>
        <w:rPr>
          <w:szCs w:val="24"/>
        </w:rPr>
      </w:pPr>
      <w:r w:rsidRPr="00D93C78">
        <w:rPr>
          <w:szCs w:val="24"/>
        </w:rPr>
        <w:t>Paris, France</w:t>
      </w:r>
      <w:r w:rsidR="00C1433D" w:rsidRPr="00D93C78">
        <w:rPr>
          <w:szCs w:val="24"/>
        </w:rPr>
        <w:t xml:space="preserve"> </w:t>
      </w:r>
      <w:r w:rsidR="00F4744B" w:rsidRPr="00D93C78">
        <w:rPr>
          <w:szCs w:val="24"/>
        </w:rPr>
        <w:t>16-18</w:t>
      </w:r>
      <w:r w:rsidR="00195C8C" w:rsidRPr="00D93C78">
        <w:rPr>
          <w:szCs w:val="24"/>
        </w:rPr>
        <w:t xml:space="preserve"> April 201</w:t>
      </w:r>
      <w:r w:rsidR="00F4744B" w:rsidRPr="00D93C78">
        <w:rPr>
          <w:szCs w:val="24"/>
        </w:rPr>
        <w:t>3</w:t>
      </w:r>
    </w:p>
    <w:p w:rsidR="00C1433D" w:rsidRPr="00D93C78" w:rsidRDefault="00C1433D" w:rsidP="00D93C78">
      <w:pPr>
        <w:pStyle w:val="BodyText"/>
        <w:rPr>
          <w:szCs w:val="24"/>
        </w:rPr>
      </w:pPr>
    </w:p>
    <w:tbl>
      <w:tblPr>
        <w:tblW w:w="4850" w:type="pct"/>
        <w:tblInd w:w="170" w:type="dxa"/>
        <w:tblLayout w:type="fixed"/>
        <w:tblLook w:val="0000" w:firstRow="0" w:lastRow="0" w:firstColumn="0" w:lastColumn="0" w:noHBand="0" w:noVBand="0"/>
      </w:tblPr>
      <w:tblGrid>
        <w:gridCol w:w="3250"/>
        <w:gridCol w:w="6309"/>
      </w:tblGrid>
      <w:tr w:rsidR="00C1433D" w:rsidRPr="00D93C78" w:rsidTr="00740E9A">
        <w:tc>
          <w:tcPr>
            <w:tcW w:w="3348" w:type="dxa"/>
          </w:tcPr>
          <w:p w:rsidR="00C1433D" w:rsidRPr="00D93C78" w:rsidRDefault="00C1433D" w:rsidP="00D93C78">
            <w:pPr>
              <w:pStyle w:val="BodyText"/>
              <w:tabs>
                <w:tab w:val="left" w:pos="360"/>
              </w:tabs>
              <w:rPr>
                <w:b/>
                <w:bCs/>
                <w:szCs w:val="24"/>
              </w:rPr>
            </w:pPr>
            <w:r w:rsidRPr="00D93C78">
              <w:rPr>
                <w:b/>
                <w:bCs/>
                <w:szCs w:val="24"/>
              </w:rPr>
              <w:t>1.</w:t>
            </w:r>
            <w:r w:rsidRPr="00D93C78">
              <w:rPr>
                <w:b/>
                <w:bCs/>
                <w:szCs w:val="24"/>
              </w:rPr>
              <w:tab/>
            </w:r>
            <w:r w:rsidR="00A867A7" w:rsidRPr="00D93C78">
              <w:rPr>
                <w:b/>
                <w:bCs/>
                <w:szCs w:val="24"/>
              </w:rPr>
              <w:t>Category</w:t>
            </w:r>
            <w:r w:rsidR="00BB51AC" w:rsidRPr="00D93C78">
              <w:rPr>
                <w:b/>
                <w:bCs/>
                <w:szCs w:val="24"/>
              </w:rPr>
              <w:t xml:space="preserve"> name</w:t>
            </w:r>
            <w:r w:rsidRPr="00D93C78">
              <w:rPr>
                <w:b/>
                <w:bCs/>
                <w:szCs w:val="24"/>
              </w:rPr>
              <w:t>:</w:t>
            </w:r>
          </w:p>
        </w:tc>
        <w:tc>
          <w:tcPr>
            <w:tcW w:w="6507" w:type="dxa"/>
          </w:tcPr>
          <w:p w:rsidR="00C1433D" w:rsidRPr="00D93C78" w:rsidRDefault="001A5C44" w:rsidP="00D93C78">
            <w:pPr>
              <w:pStyle w:val="BodyText2"/>
              <w:rPr>
                <w:szCs w:val="24"/>
              </w:rPr>
            </w:pPr>
            <w:r w:rsidRPr="00D93C78">
              <w:rPr>
                <w:szCs w:val="24"/>
              </w:rPr>
              <w:t>Vinyl</w:t>
            </w:r>
            <w:r w:rsidR="00413FFD" w:rsidRPr="00D93C78">
              <w:rPr>
                <w:szCs w:val="24"/>
              </w:rPr>
              <w:t xml:space="preserve"> chlorosilanes</w:t>
            </w:r>
          </w:p>
        </w:tc>
      </w:tr>
      <w:tr w:rsidR="00BB51AC" w:rsidRPr="00D93C78" w:rsidTr="00740E9A">
        <w:tc>
          <w:tcPr>
            <w:tcW w:w="3348" w:type="dxa"/>
          </w:tcPr>
          <w:p w:rsidR="00BB51AC" w:rsidRPr="00D93C78" w:rsidRDefault="00BB51AC" w:rsidP="00D93C78">
            <w:pPr>
              <w:pStyle w:val="BodyText"/>
              <w:tabs>
                <w:tab w:val="left" w:pos="360"/>
              </w:tabs>
              <w:rPr>
                <w:b/>
                <w:bCs/>
                <w:szCs w:val="24"/>
              </w:rPr>
            </w:pPr>
            <w:r w:rsidRPr="00D93C78">
              <w:rPr>
                <w:b/>
                <w:bCs/>
                <w:szCs w:val="24"/>
              </w:rPr>
              <w:t>2.</w:t>
            </w:r>
            <w:r w:rsidRPr="00D93C78">
              <w:rPr>
                <w:b/>
                <w:bCs/>
                <w:szCs w:val="24"/>
              </w:rPr>
              <w:tab/>
              <w:t>CAS Number</w:t>
            </w:r>
            <w:r w:rsidR="00A867A7" w:rsidRPr="00D93C78">
              <w:rPr>
                <w:b/>
                <w:bCs/>
                <w:szCs w:val="24"/>
              </w:rPr>
              <w:t xml:space="preserve"> and name</w:t>
            </w:r>
            <w:r w:rsidRPr="00D93C78">
              <w:rPr>
                <w:b/>
                <w:bCs/>
                <w:szCs w:val="24"/>
              </w:rPr>
              <w:t>:</w:t>
            </w:r>
          </w:p>
        </w:tc>
        <w:tc>
          <w:tcPr>
            <w:tcW w:w="6507" w:type="dxa"/>
          </w:tcPr>
          <w:p w:rsidR="00A867A7" w:rsidRPr="00D93C78" w:rsidRDefault="00825BC4" w:rsidP="00D93C78">
            <w:pPr>
              <w:pStyle w:val="BodyText2"/>
              <w:rPr>
                <w:szCs w:val="24"/>
              </w:rPr>
            </w:pPr>
            <w:r w:rsidRPr="00D93C78">
              <w:rPr>
                <w:szCs w:val="24"/>
              </w:rPr>
              <w:t xml:space="preserve">124-70-9 </w:t>
            </w:r>
            <w:r w:rsidR="002050D5" w:rsidRPr="00D93C78">
              <w:rPr>
                <w:szCs w:val="24"/>
              </w:rPr>
              <w:t>Dichloromethyl(vinyl)silane</w:t>
            </w:r>
            <w:r w:rsidR="001F084C" w:rsidRPr="00D93C78">
              <w:rPr>
                <w:szCs w:val="24"/>
              </w:rPr>
              <w:t xml:space="preserve"> (</w:t>
            </w:r>
            <w:r w:rsidR="001F084C" w:rsidRPr="00D93C78">
              <w:rPr>
                <w:b/>
                <w:szCs w:val="24"/>
              </w:rPr>
              <w:t>VDCS</w:t>
            </w:r>
            <w:r w:rsidR="001F084C" w:rsidRPr="00D93C78">
              <w:rPr>
                <w:szCs w:val="24"/>
              </w:rPr>
              <w:t>)</w:t>
            </w:r>
          </w:p>
          <w:p w:rsidR="00121323" w:rsidRPr="00D93C78" w:rsidRDefault="00121323" w:rsidP="00D93C78">
            <w:pPr>
              <w:pStyle w:val="BodyText2"/>
              <w:rPr>
                <w:szCs w:val="24"/>
              </w:rPr>
            </w:pPr>
            <w:r w:rsidRPr="00D93C78">
              <w:rPr>
                <w:szCs w:val="24"/>
              </w:rPr>
              <w:t>75-94-5 Trichlorovinylsilane</w:t>
            </w:r>
            <w:r w:rsidR="001F084C" w:rsidRPr="00D93C78">
              <w:rPr>
                <w:szCs w:val="24"/>
              </w:rPr>
              <w:t xml:space="preserve"> (</w:t>
            </w:r>
            <w:r w:rsidR="001F084C" w:rsidRPr="00D93C78">
              <w:rPr>
                <w:b/>
                <w:szCs w:val="24"/>
              </w:rPr>
              <w:t>VTCS</w:t>
            </w:r>
            <w:r w:rsidR="001F084C" w:rsidRPr="00D93C78">
              <w:rPr>
                <w:szCs w:val="24"/>
              </w:rPr>
              <w:t>)</w:t>
            </w:r>
          </w:p>
        </w:tc>
      </w:tr>
      <w:tr w:rsidR="00C1433D" w:rsidRPr="00D93C78" w:rsidTr="00740E9A">
        <w:tc>
          <w:tcPr>
            <w:tcW w:w="3348" w:type="dxa"/>
          </w:tcPr>
          <w:p w:rsidR="00C1433D" w:rsidRPr="00D93C78" w:rsidRDefault="00BB51AC" w:rsidP="00D93C78">
            <w:pPr>
              <w:pStyle w:val="BodyText"/>
              <w:tabs>
                <w:tab w:val="left" w:pos="360"/>
              </w:tabs>
              <w:rPr>
                <w:b/>
                <w:bCs/>
                <w:szCs w:val="24"/>
              </w:rPr>
            </w:pPr>
            <w:r w:rsidRPr="00D93C78">
              <w:rPr>
                <w:b/>
                <w:bCs/>
                <w:szCs w:val="24"/>
              </w:rPr>
              <w:t>3</w:t>
            </w:r>
            <w:r w:rsidR="00C1433D" w:rsidRPr="00D93C78">
              <w:rPr>
                <w:b/>
                <w:bCs/>
                <w:szCs w:val="24"/>
              </w:rPr>
              <w:t>.</w:t>
            </w:r>
            <w:r w:rsidR="00C1433D" w:rsidRPr="00D93C78">
              <w:rPr>
                <w:b/>
                <w:bCs/>
                <w:szCs w:val="24"/>
              </w:rPr>
              <w:tab/>
              <w:t>Sponsor Country:</w:t>
            </w:r>
          </w:p>
        </w:tc>
        <w:tc>
          <w:tcPr>
            <w:tcW w:w="6507" w:type="dxa"/>
          </w:tcPr>
          <w:p w:rsidR="00C1433D" w:rsidRPr="00D93C78" w:rsidRDefault="00C1433D" w:rsidP="00D93C78">
            <w:pPr>
              <w:pStyle w:val="BodyText"/>
              <w:rPr>
                <w:szCs w:val="24"/>
              </w:rPr>
            </w:pPr>
            <w:r w:rsidRPr="00D93C78">
              <w:rPr>
                <w:szCs w:val="24"/>
              </w:rPr>
              <w:t>United States</w:t>
            </w:r>
          </w:p>
          <w:p w:rsidR="00C1433D" w:rsidRPr="00D93C78" w:rsidRDefault="00C1433D" w:rsidP="00D93C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jc w:val="both"/>
            </w:pPr>
            <w:r w:rsidRPr="00D93C78">
              <w:t>Dr. Oscar Hernandez</w:t>
            </w:r>
          </w:p>
          <w:p w:rsidR="00C1433D" w:rsidRPr="00D93C78" w:rsidRDefault="00C1433D" w:rsidP="00D93C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jc w:val="both"/>
            </w:pPr>
            <w:r w:rsidRPr="00D93C78">
              <w:t>Director, Risk Assessment Division</w:t>
            </w:r>
          </w:p>
          <w:p w:rsidR="00C1433D" w:rsidRPr="00D93C78" w:rsidRDefault="00C1433D" w:rsidP="00D93C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jc w:val="both"/>
            </w:pPr>
            <w:r w:rsidRPr="00D93C78">
              <w:t>(7403M)</w:t>
            </w:r>
          </w:p>
          <w:p w:rsidR="00C1433D" w:rsidRPr="00D93C78" w:rsidRDefault="00C1433D" w:rsidP="00D93C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jc w:val="both"/>
            </w:pPr>
            <w:r w:rsidRPr="00D93C78">
              <w:t>U.S. Environmental Protection Agency</w:t>
            </w:r>
          </w:p>
          <w:p w:rsidR="00C1433D" w:rsidRPr="00D93C78" w:rsidRDefault="00C1433D" w:rsidP="00D93C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jc w:val="both"/>
            </w:pPr>
            <w:r w:rsidRPr="00D93C78">
              <w:t>1200 Pennsylvania Ave, N.W.</w:t>
            </w:r>
          </w:p>
          <w:p w:rsidR="00C1433D" w:rsidRPr="00D93C78" w:rsidRDefault="00C1433D" w:rsidP="00D93C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jc w:val="both"/>
            </w:pPr>
            <w:r w:rsidRPr="00D93C78">
              <w:t>Washington, DC 20460</w:t>
            </w:r>
          </w:p>
          <w:p w:rsidR="00C1433D" w:rsidRPr="00D93C78" w:rsidRDefault="00C1433D" w:rsidP="00D93C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jc w:val="both"/>
            </w:pPr>
            <w:r w:rsidRPr="00D93C78">
              <w:t>Phone: 202-564-7641</w:t>
            </w:r>
          </w:p>
          <w:p w:rsidR="00653AEA" w:rsidRPr="00D93C78" w:rsidRDefault="00653AEA" w:rsidP="00D93C78">
            <w:pPr>
              <w:pStyle w:val="BodyText2"/>
              <w:rPr>
                <w:szCs w:val="24"/>
              </w:rPr>
            </w:pPr>
          </w:p>
        </w:tc>
      </w:tr>
      <w:tr w:rsidR="00C1433D" w:rsidRPr="00D93C78" w:rsidTr="00740E9A">
        <w:tc>
          <w:tcPr>
            <w:tcW w:w="3348" w:type="dxa"/>
          </w:tcPr>
          <w:p w:rsidR="00C1433D" w:rsidRPr="00D93C78" w:rsidRDefault="00BB51AC" w:rsidP="00D93C78">
            <w:pPr>
              <w:pStyle w:val="BodyText"/>
              <w:tabs>
                <w:tab w:val="left" w:pos="360"/>
              </w:tabs>
              <w:ind w:left="360" w:hanging="360"/>
              <w:rPr>
                <w:b/>
                <w:bCs/>
                <w:szCs w:val="24"/>
              </w:rPr>
            </w:pPr>
            <w:r w:rsidRPr="00D93C78">
              <w:rPr>
                <w:b/>
                <w:bCs/>
                <w:szCs w:val="24"/>
              </w:rPr>
              <w:t>4</w:t>
            </w:r>
            <w:r w:rsidR="00C1433D" w:rsidRPr="00D93C78">
              <w:rPr>
                <w:b/>
                <w:bCs/>
                <w:szCs w:val="24"/>
              </w:rPr>
              <w:t>.</w:t>
            </w:r>
            <w:r w:rsidR="00C1433D" w:rsidRPr="00D93C78">
              <w:rPr>
                <w:b/>
                <w:bCs/>
                <w:szCs w:val="24"/>
              </w:rPr>
              <w:tab/>
              <w:t>Shared Partnership with:</w:t>
            </w:r>
          </w:p>
        </w:tc>
        <w:tc>
          <w:tcPr>
            <w:tcW w:w="6507" w:type="dxa"/>
          </w:tcPr>
          <w:p w:rsidR="00C1433D" w:rsidRPr="00D93C78" w:rsidRDefault="00C1433D" w:rsidP="00D93C78">
            <w:pPr>
              <w:pStyle w:val="BodyText"/>
              <w:spacing w:after="0"/>
              <w:rPr>
                <w:b/>
                <w:szCs w:val="24"/>
              </w:rPr>
            </w:pPr>
            <w:r w:rsidRPr="00D93C78">
              <w:rPr>
                <w:b/>
                <w:szCs w:val="24"/>
              </w:rPr>
              <w:t xml:space="preserve">Silicones Environmental Health and Safety </w:t>
            </w:r>
            <w:r w:rsidR="00F447BC" w:rsidRPr="00D93C78">
              <w:rPr>
                <w:b/>
                <w:szCs w:val="24"/>
              </w:rPr>
              <w:t xml:space="preserve">Center </w:t>
            </w:r>
            <w:r w:rsidRPr="00D93C78">
              <w:rPr>
                <w:b/>
                <w:szCs w:val="24"/>
              </w:rPr>
              <w:t>(SEHSC):</w:t>
            </w:r>
          </w:p>
          <w:p w:rsidR="00C1433D" w:rsidRPr="00D93C78" w:rsidRDefault="00D22FE6" w:rsidP="00D93C78">
            <w:pPr>
              <w:pStyle w:val="NormalWeb"/>
              <w:spacing w:before="0" w:beforeAutospacing="0" w:after="0" w:afterAutospacing="0" w:line="360" w:lineRule="auto"/>
              <w:jc w:val="both"/>
            </w:pPr>
            <w:hyperlink r:id="rId9" w:tgtFrame="_blank" w:history="1">
              <w:r w:rsidR="00C1433D" w:rsidRPr="00D93C78">
                <w:rPr>
                  <w:rStyle w:val="Hyperlink"/>
                  <w:color w:val="auto"/>
                  <w:sz w:val="24"/>
                  <w:u w:val="none"/>
                </w:rPr>
                <w:t>Evonik</w:t>
              </w:r>
            </w:hyperlink>
          </w:p>
          <w:p w:rsidR="00C1433D" w:rsidRPr="00D93C78" w:rsidRDefault="00D22FE6" w:rsidP="00D93C78">
            <w:pPr>
              <w:pStyle w:val="NormalWeb"/>
              <w:spacing w:before="0" w:beforeAutospacing="0" w:after="0" w:afterAutospacing="0" w:line="360" w:lineRule="auto"/>
              <w:jc w:val="both"/>
              <w:rPr>
                <w:rStyle w:val="Hyperlink"/>
                <w:color w:val="auto"/>
                <w:sz w:val="24"/>
                <w:u w:val="none"/>
              </w:rPr>
            </w:pPr>
            <w:hyperlink r:id="rId10" w:tgtFrame="_blank" w:history="1">
              <w:r w:rsidR="00C1433D" w:rsidRPr="00D93C78">
                <w:rPr>
                  <w:rStyle w:val="Hyperlink"/>
                  <w:color w:val="auto"/>
                  <w:sz w:val="24"/>
                  <w:u w:val="none"/>
                </w:rPr>
                <w:t>Dow Corning Corporation</w:t>
              </w:r>
            </w:hyperlink>
          </w:p>
          <w:p w:rsidR="00E94FB6" w:rsidRPr="00D93C78" w:rsidRDefault="00E94FB6" w:rsidP="00D93C78">
            <w:pPr>
              <w:pStyle w:val="NormalWeb"/>
              <w:spacing w:before="0" w:beforeAutospacing="0" w:after="0" w:afterAutospacing="0" w:line="360" w:lineRule="auto"/>
              <w:jc w:val="both"/>
            </w:pPr>
            <w:r w:rsidRPr="00D93C78">
              <w:rPr>
                <w:rStyle w:val="Hyperlink"/>
                <w:color w:val="auto"/>
                <w:sz w:val="24"/>
                <w:u w:val="none"/>
              </w:rPr>
              <w:t>Miliken</w:t>
            </w:r>
          </w:p>
          <w:p w:rsidR="00C1433D" w:rsidRPr="00D93C78" w:rsidRDefault="00D22FE6" w:rsidP="00D93C78">
            <w:pPr>
              <w:pStyle w:val="NormalWeb"/>
              <w:spacing w:before="0" w:beforeAutospacing="0" w:after="0" w:afterAutospacing="0" w:line="360" w:lineRule="auto"/>
              <w:jc w:val="both"/>
            </w:pPr>
            <w:hyperlink r:id="rId11" w:tgtFrame="_blank" w:history="1">
              <w:r w:rsidR="00C1433D" w:rsidRPr="00D93C78">
                <w:rPr>
                  <w:rStyle w:val="Hyperlink"/>
                  <w:color w:val="auto"/>
                  <w:sz w:val="24"/>
                  <w:u w:val="none"/>
                </w:rPr>
                <w:t>Momentive</w:t>
              </w:r>
            </w:hyperlink>
            <w:r w:rsidR="00C1433D" w:rsidRPr="00D93C78">
              <w:t xml:space="preserve"> Performance Materials</w:t>
            </w:r>
          </w:p>
          <w:p w:rsidR="00C1433D" w:rsidRPr="00D93C78" w:rsidRDefault="00D22FE6" w:rsidP="00D93C78">
            <w:pPr>
              <w:pStyle w:val="NormalWeb"/>
              <w:tabs>
                <w:tab w:val="left" w:pos="2136"/>
              </w:tabs>
              <w:spacing w:before="0" w:beforeAutospacing="0" w:after="0" w:afterAutospacing="0" w:line="360" w:lineRule="auto"/>
              <w:jc w:val="both"/>
            </w:pPr>
            <w:hyperlink r:id="rId12" w:tgtFrame="_blank" w:history="1">
              <w:r w:rsidR="00C1433D" w:rsidRPr="00D93C78">
                <w:rPr>
                  <w:rStyle w:val="Hyperlink"/>
                  <w:color w:val="auto"/>
                  <w:sz w:val="24"/>
                  <w:u w:val="none"/>
                </w:rPr>
                <w:t>Bluestar Silicones</w:t>
              </w:r>
            </w:hyperlink>
            <w:r w:rsidR="00C1433D" w:rsidRPr="00D93C78">
              <w:tab/>
            </w:r>
          </w:p>
          <w:p w:rsidR="00C1433D" w:rsidRPr="00D93C78" w:rsidRDefault="00D22FE6" w:rsidP="00D93C78">
            <w:pPr>
              <w:pStyle w:val="NormalWeb"/>
              <w:spacing w:before="0" w:beforeAutospacing="0" w:after="0" w:afterAutospacing="0" w:line="360" w:lineRule="auto"/>
              <w:jc w:val="both"/>
            </w:pPr>
            <w:hyperlink r:id="rId13" w:tgtFrame="_blank" w:history="1">
              <w:r w:rsidR="00C1433D" w:rsidRPr="00D93C78">
                <w:rPr>
                  <w:rStyle w:val="Hyperlink"/>
                  <w:color w:val="auto"/>
                  <w:sz w:val="24"/>
                  <w:u w:val="none"/>
                </w:rPr>
                <w:t>Shin-Etsu Silicones of America</w:t>
              </w:r>
            </w:hyperlink>
          </w:p>
          <w:p w:rsidR="00C1433D" w:rsidRPr="00D93C78" w:rsidRDefault="00D22FE6" w:rsidP="00D93C78">
            <w:pPr>
              <w:pStyle w:val="BodyText2"/>
              <w:rPr>
                <w:szCs w:val="24"/>
              </w:rPr>
            </w:pPr>
            <w:hyperlink r:id="rId14" w:tgtFrame="_blank" w:history="1">
              <w:r w:rsidR="00C1433D" w:rsidRPr="00D93C78">
                <w:rPr>
                  <w:rStyle w:val="Hyperlink"/>
                  <w:color w:val="auto"/>
                  <w:sz w:val="24"/>
                  <w:szCs w:val="24"/>
                  <w:u w:val="none"/>
                </w:rPr>
                <w:t>Wacker Silicones, A Division of Wacker Chemical Corporation</w:t>
              </w:r>
            </w:hyperlink>
          </w:p>
        </w:tc>
      </w:tr>
      <w:tr w:rsidR="00C1433D" w:rsidRPr="00D93C78" w:rsidTr="00740E9A">
        <w:tc>
          <w:tcPr>
            <w:tcW w:w="3348" w:type="dxa"/>
          </w:tcPr>
          <w:p w:rsidR="00C1433D" w:rsidRPr="00D93C78" w:rsidRDefault="00BB51AC" w:rsidP="00D93C78">
            <w:pPr>
              <w:pStyle w:val="BodyText"/>
              <w:tabs>
                <w:tab w:val="left" w:pos="360"/>
              </w:tabs>
              <w:ind w:left="360" w:hanging="360"/>
              <w:rPr>
                <w:b/>
                <w:bCs/>
                <w:szCs w:val="24"/>
              </w:rPr>
            </w:pPr>
            <w:r w:rsidRPr="00D93C78">
              <w:rPr>
                <w:b/>
                <w:bCs/>
                <w:szCs w:val="24"/>
              </w:rPr>
              <w:t>5</w:t>
            </w:r>
            <w:r w:rsidR="00C1433D" w:rsidRPr="00D93C78">
              <w:rPr>
                <w:b/>
                <w:bCs/>
                <w:szCs w:val="24"/>
              </w:rPr>
              <w:t>.</w:t>
            </w:r>
            <w:r w:rsidR="00C1433D" w:rsidRPr="00D93C78">
              <w:rPr>
                <w:b/>
                <w:bCs/>
                <w:szCs w:val="24"/>
              </w:rPr>
              <w:tab/>
              <w:t>Roles/Responsibilities of the Partners:</w:t>
            </w:r>
          </w:p>
        </w:tc>
        <w:tc>
          <w:tcPr>
            <w:tcW w:w="6507" w:type="dxa"/>
          </w:tcPr>
          <w:p w:rsidR="00C1433D" w:rsidRPr="00D93C78" w:rsidRDefault="00C1433D" w:rsidP="00D93C78">
            <w:pPr>
              <w:pStyle w:val="BodyText2"/>
              <w:rPr>
                <w:szCs w:val="24"/>
              </w:rPr>
            </w:pPr>
          </w:p>
        </w:tc>
      </w:tr>
      <w:tr w:rsidR="00C1433D" w:rsidRPr="00D93C78" w:rsidTr="00740E9A">
        <w:tc>
          <w:tcPr>
            <w:tcW w:w="3348" w:type="dxa"/>
          </w:tcPr>
          <w:p w:rsidR="00C1433D" w:rsidRPr="00D93C78" w:rsidRDefault="00C1433D" w:rsidP="00D93C78">
            <w:pPr>
              <w:pStyle w:val="ListBullet"/>
              <w:spacing w:after="180"/>
              <w:rPr>
                <w:szCs w:val="24"/>
              </w:rPr>
            </w:pPr>
            <w:r w:rsidRPr="00D93C78">
              <w:rPr>
                <w:szCs w:val="24"/>
              </w:rPr>
              <w:t>Name of industry sponsor /consortium</w:t>
            </w:r>
          </w:p>
        </w:tc>
        <w:tc>
          <w:tcPr>
            <w:tcW w:w="6507" w:type="dxa"/>
          </w:tcPr>
          <w:p w:rsidR="00C1433D" w:rsidRPr="00D93C78" w:rsidRDefault="00C1433D" w:rsidP="00D93C78">
            <w:pPr>
              <w:pStyle w:val="BodyText"/>
              <w:spacing w:after="0"/>
              <w:ind w:left="357" w:hanging="357"/>
              <w:rPr>
                <w:szCs w:val="24"/>
              </w:rPr>
            </w:pPr>
            <w:r w:rsidRPr="00D93C78">
              <w:rPr>
                <w:szCs w:val="24"/>
              </w:rPr>
              <w:t xml:space="preserve">Silicones Environmental Health and Safety </w:t>
            </w:r>
            <w:r w:rsidR="00F447BC" w:rsidRPr="00D93C78">
              <w:rPr>
                <w:szCs w:val="24"/>
              </w:rPr>
              <w:t>Center</w:t>
            </w:r>
          </w:p>
          <w:p w:rsidR="00C1433D" w:rsidRPr="00D93C78" w:rsidRDefault="00C1433D" w:rsidP="00D93C78">
            <w:pPr>
              <w:pStyle w:val="BodyText"/>
              <w:spacing w:after="0"/>
              <w:ind w:left="357" w:hanging="357"/>
              <w:rPr>
                <w:szCs w:val="24"/>
              </w:rPr>
            </w:pPr>
            <w:r w:rsidRPr="00D93C78">
              <w:rPr>
                <w:szCs w:val="24"/>
              </w:rPr>
              <w:t xml:space="preserve">Contact point: Tracy </w:t>
            </w:r>
            <w:r w:rsidR="00BB51AC" w:rsidRPr="00D93C78">
              <w:rPr>
                <w:szCs w:val="24"/>
              </w:rPr>
              <w:t>Guer</w:t>
            </w:r>
            <w:r w:rsidR="00A867A7" w:rsidRPr="00D93C78">
              <w:rPr>
                <w:szCs w:val="24"/>
              </w:rPr>
              <w:t>r</w:t>
            </w:r>
            <w:r w:rsidR="00BB51AC" w:rsidRPr="00D93C78">
              <w:rPr>
                <w:szCs w:val="24"/>
              </w:rPr>
              <w:t>ero</w:t>
            </w:r>
          </w:p>
          <w:p w:rsidR="00C1433D" w:rsidRPr="00D93C78" w:rsidRDefault="00C1433D" w:rsidP="00D93C78">
            <w:pPr>
              <w:pStyle w:val="BodyText"/>
              <w:spacing w:after="0"/>
              <w:ind w:left="357" w:hanging="357"/>
              <w:rPr>
                <w:szCs w:val="24"/>
              </w:rPr>
            </w:pPr>
            <w:r w:rsidRPr="00D93C78">
              <w:rPr>
                <w:szCs w:val="24"/>
              </w:rPr>
              <w:t>SEHSC</w:t>
            </w:r>
          </w:p>
          <w:p w:rsidR="00C1433D" w:rsidRPr="00D93C78" w:rsidRDefault="00C1433D" w:rsidP="00D93C78">
            <w:pPr>
              <w:pStyle w:val="BodyText"/>
              <w:spacing w:after="0"/>
              <w:ind w:left="357" w:hanging="357"/>
              <w:rPr>
                <w:szCs w:val="24"/>
              </w:rPr>
            </w:pPr>
            <w:r w:rsidRPr="00D93C78">
              <w:rPr>
                <w:szCs w:val="24"/>
              </w:rPr>
              <w:t xml:space="preserve">(703) 788-6562 </w:t>
            </w:r>
          </w:p>
          <w:p w:rsidR="00653AEA" w:rsidRPr="00D93C78" w:rsidRDefault="00653AEA" w:rsidP="00D93C78">
            <w:pPr>
              <w:pStyle w:val="BodyText"/>
              <w:spacing w:after="0"/>
              <w:ind w:left="357" w:hanging="357"/>
              <w:rPr>
                <w:szCs w:val="24"/>
              </w:rPr>
            </w:pPr>
          </w:p>
        </w:tc>
      </w:tr>
      <w:tr w:rsidR="00C1433D" w:rsidRPr="00D93C78" w:rsidTr="00740E9A">
        <w:tc>
          <w:tcPr>
            <w:tcW w:w="3348" w:type="dxa"/>
          </w:tcPr>
          <w:p w:rsidR="00C1433D" w:rsidRPr="00D93C78" w:rsidRDefault="00C1433D" w:rsidP="00D93C78">
            <w:pPr>
              <w:pStyle w:val="ListBullet"/>
              <w:spacing w:after="180"/>
              <w:rPr>
                <w:szCs w:val="24"/>
              </w:rPr>
            </w:pPr>
            <w:r w:rsidRPr="00D93C78">
              <w:rPr>
                <w:szCs w:val="24"/>
              </w:rPr>
              <w:t>Process used</w:t>
            </w:r>
          </w:p>
        </w:tc>
        <w:tc>
          <w:tcPr>
            <w:tcW w:w="6507" w:type="dxa"/>
          </w:tcPr>
          <w:p w:rsidR="00C1433D" w:rsidRPr="00D93C78" w:rsidRDefault="00C1433D" w:rsidP="00D93C78">
            <w:pPr>
              <w:pStyle w:val="BodyText"/>
              <w:rPr>
                <w:szCs w:val="24"/>
              </w:rPr>
            </w:pPr>
            <w:r w:rsidRPr="00D93C78">
              <w:rPr>
                <w:szCs w:val="24"/>
              </w:rPr>
              <w:t xml:space="preserve">The SEHSC produced </w:t>
            </w:r>
            <w:r w:rsidR="00653AEA" w:rsidRPr="00D93C78">
              <w:rPr>
                <w:szCs w:val="24"/>
              </w:rPr>
              <w:t xml:space="preserve">and </w:t>
            </w:r>
            <w:r w:rsidRPr="00D93C78">
              <w:rPr>
                <w:szCs w:val="24"/>
              </w:rPr>
              <w:t xml:space="preserve">EPA reviewed the documents and provided additional information </w:t>
            </w:r>
            <w:r w:rsidR="00653AEA" w:rsidRPr="00D93C78">
              <w:rPr>
                <w:szCs w:val="24"/>
              </w:rPr>
              <w:t>for</w:t>
            </w:r>
            <w:r w:rsidRPr="00D93C78">
              <w:rPr>
                <w:szCs w:val="24"/>
              </w:rPr>
              <w:t xml:space="preserve"> data gaps.</w:t>
            </w:r>
          </w:p>
        </w:tc>
      </w:tr>
      <w:tr w:rsidR="00C1433D" w:rsidRPr="00D93C78" w:rsidTr="00740E9A">
        <w:tc>
          <w:tcPr>
            <w:tcW w:w="3348" w:type="dxa"/>
          </w:tcPr>
          <w:p w:rsidR="00C1433D" w:rsidRPr="00D93C78" w:rsidRDefault="00BB51AC" w:rsidP="00D93C78">
            <w:pPr>
              <w:pStyle w:val="BodyText"/>
              <w:tabs>
                <w:tab w:val="left" w:pos="360"/>
              </w:tabs>
              <w:rPr>
                <w:b/>
                <w:bCs/>
                <w:szCs w:val="24"/>
              </w:rPr>
            </w:pPr>
            <w:r w:rsidRPr="00D93C78">
              <w:rPr>
                <w:b/>
                <w:bCs/>
                <w:szCs w:val="24"/>
              </w:rPr>
              <w:t>6</w:t>
            </w:r>
            <w:r w:rsidR="00C1433D" w:rsidRPr="00D93C78">
              <w:rPr>
                <w:b/>
                <w:bCs/>
                <w:szCs w:val="24"/>
              </w:rPr>
              <w:t>.</w:t>
            </w:r>
            <w:r w:rsidR="00C1433D" w:rsidRPr="00D93C78">
              <w:rPr>
                <w:b/>
                <w:bCs/>
                <w:szCs w:val="24"/>
              </w:rPr>
              <w:tab/>
              <w:t>Sponsorship History</w:t>
            </w:r>
          </w:p>
        </w:tc>
        <w:tc>
          <w:tcPr>
            <w:tcW w:w="6507" w:type="dxa"/>
          </w:tcPr>
          <w:p w:rsidR="00C1433D" w:rsidRPr="00D93C78" w:rsidRDefault="00C1433D" w:rsidP="00D93C78">
            <w:pPr>
              <w:pStyle w:val="BodyText2"/>
              <w:rPr>
                <w:szCs w:val="24"/>
              </w:rPr>
            </w:pPr>
          </w:p>
        </w:tc>
      </w:tr>
      <w:tr w:rsidR="00C1433D" w:rsidRPr="00D93C78" w:rsidTr="00740E9A">
        <w:tc>
          <w:tcPr>
            <w:tcW w:w="3348" w:type="dxa"/>
          </w:tcPr>
          <w:p w:rsidR="00C1433D" w:rsidRPr="00D93C78" w:rsidRDefault="00C1433D" w:rsidP="00D93C78">
            <w:pPr>
              <w:pStyle w:val="ListBullet"/>
              <w:spacing w:after="180"/>
              <w:rPr>
                <w:szCs w:val="24"/>
              </w:rPr>
            </w:pPr>
            <w:r w:rsidRPr="00D93C78">
              <w:rPr>
                <w:szCs w:val="24"/>
              </w:rPr>
              <w:t xml:space="preserve">How was the chemical or category brought into the </w:t>
            </w:r>
            <w:r w:rsidRPr="00D93C78">
              <w:rPr>
                <w:szCs w:val="24"/>
              </w:rPr>
              <w:lastRenderedPageBreak/>
              <w:t>OECD HPV Chemicals Programme ?</w:t>
            </w:r>
          </w:p>
        </w:tc>
        <w:tc>
          <w:tcPr>
            <w:tcW w:w="6507" w:type="dxa"/>
          </w:tcPr>
          <w:p w:rsidR="00C1433D" w:rsidRPr="00D93C78" w:rsidRDefault="00C1433D" w:rsidP="00D93C78">
            <w:pPr>
              <w:jc w:val="both"/>
              <w:rPr>
                <w:lang w:val="en-GB"/>
              </w:rPr>
            </w:pPr>
            <w:r w:rsidRPr="00D93C78">
              <w:lastRenderedPageBreak/>
              <w:t xml:space="preserve">Documents were prepared and reviewed by industry prior to submission to sponsor country.  Sponsor country conducted </w:t>
            </w:r>
            <w:r w:rsidRPr="00D93C78">
              <w:lastRenderedPageBreak/>
              <w:t xml:space="preserve">reviews of submitted data and offered comments to industry.  Industry prepared and resubmitted documents for consideration at </w:t>
            </w:r>
            <w:r w:rsidR="00D90513" w:rsidRPr="00D93C78">
              <w:t>CoCA</w:t>
            </w:r>
            <w:r w:rsidR="001F769B" w:rsidRPr="00D93C78">
              <w:t>M</w:t>
            </w:r>
            <w:r w:rsidR="00D90513" w:rsidRPr="00D93C78">
              <w:t xml:space="preserve"> </w:t>
            </w:r>
            <w:r w:rsidR="000530C9" w:rsidRPr="00D93C78">
              <w:t>4</w:t>
            </w:r>
            <w:r w:rsidRPr="00D93C78">
              <w:t xml:space="preserve">.  </w:t>
            </w:r>
          </w:p>
          <w:p w:rsidR="00C1433D" w:rsidRPr="00D93C78" w:rsidRDefault="00C1433D" w:rsidP="00D93C78">
            <w:pPr>
              <w:tabs>
                <w:tab w:val="left" w:pos="0"/>
                <w:tab w:val="left" w:pos="129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line="240" w:lineRule="atLeast"/>
              <w:ind w:left="1296"/>
              <w:jc w:val="both"/>
            </w:pPr>
            <w:r w:rsidRPr="00D93C78">
              <w:t>no testing</w:t>
            </w:r>
            <w:r w:rsidRPr="00D93C78">
              <w:tab/>
              <w:t>( X )</w:t>
            </w:r>
          </w:p>
          <w:p w:rsidR="00C1433D" w:rsidRPr="00D93C78" w:rsidRDefault="00C1433D" w:rsidP="00D93C78">
            <w:pPr>
              <w:pStyle w:val="BodyText2"/>
              <w:rPr>
                <w:szCs w:val="24"/>
              </w:rPr>
            </w:pPr>
            <w:r w:rsidRPr="00D93C78">
              <w:rPr>
                <w:szCs w:val="24"/>
              </w:rPr>
              <w:t xml:space="preserve">                      testing</w:t>
            </w:r>
            <w:r w:rsidRPr="00D93C78">
              <w:rPr>
                <w:szCs w:val="24"/>
              </w:rPr>
              <w:tab/>
            </w:r>
            <w:r w:rsidRPr="00D93C78">
              <w:rPr>
                <w:szCs w:val="24"/>
              </w:rPr>
              <w:tab/>
              <w:t>(  )</w:t>
            </w:r>
          </w:p>
          <w:p w:rsidR="00653AEA" w:rsidRPr="00D93C78" w:rsidRDefault="00653AEA" w:rsidP="00D93C78">
            <w:pPr>
              <w:pStyle w:val="BodyText2"/>
              <w:rPr>
                <w:szCs w:val="24"/>
              </w:rPr>
            </w:pPr>
          </w:p>
        </w:tc>
      </w:tr>
      <w:tr w:rsidR="00C1433D" w:rsidRPr="00D93C78" w:rsidTr="00740E9A">
        <w:tc>
          <w:tcPr>
            <w:tcW w:w="3348" w:type="dxa"/>
          </w:tcPr>
          <w:p w:rsidR="00C1433D" w:rsidRPr="00D93C78" w:rsidRDefault="00BB51AC" w:rsidP="00D93C78">
            <w:pPr>
              <w:pStyle w:val="BodyText"/>
              <w:tabs>
                <w:tab w:val="left" w:pos="360"/>
              </w:tabs>
              <w:ind w:left="360" w:hanging="360"/>
              <w:rPr>
                <w:b/>
                <w:bCs/>
                <w:szCs w:val="24"/>
              </w:rPr>
            </w:pPr>
            <w:r w:rsidRPr="00D93C78">
              <w:rPr>
                <w:b/>
                <w:bCs/>
                <w:szCs w:val="24"/>
              </w:rPr>
              <w:lastRenderedPageBreak/>
              <w:t>7</w:t>
            </w:r>
            <w:r w:rsidR="00C1433D" w:rsidRPr="00D93C78">
              <w:rPr>
                <w:b/>
                <w:bCs/>
                <w:szCs w:val="24"/>
              </w:rPr>
              <w:t>.</w:t>
            </w:r>
            <w:r w:rsidR="00C1433D" w:rsidRPr="00D93C78">
              <w:rPr>
                <w:b/>
                <w:bCs/>
                <w:szCs w:val="24"/>
              </w:rPr>
              <w:tab/>
              <w:t>Review Process Prior to the SIAM:</w:t>
            </w:r>
          </w:p>
        </w:tc>
        <w:tc>
          <w:tcPr>
            <w:tcW w:w="6507" w:type="dxa"/>
          </w:tcPr>
          <w:p w:rsidR="00C1433D" w:rsidRPr="00D93C78" w:rsidRDefault="00C1433D" w:rsidP="00D93C78">
            <w:pPr>
              <w:pStyle w:val="BodyText"/>
              <w:rPr>
                <w:szCs w:val="24"/>
              </w:rPr>
            </w:pPr>
            <w:r w:rsidRPr="00D93C78">
              <w:rPr>
                <w:szCs w:val="24"/>
              </w:rPr>
              <w:t xml:space="preserve">Industry prepared the documents, conducted an independent third party expert review then submitted the documents to EPA for submission to the OECD.  </w:t>
            </w:r>
            <w:r w:rsidR="001F769B" w:rsidRPr="00D93C78">
              <w:rPr>
                <w:szCs w:val="24"/>
              </w:rPr>
              <w:t xml:space="preserve"> The U.S. EPA reviewed, commented and edited the final SIAP and SIAR documents for discussion at CoCAM and concurs with the information in the SIAP and SIAR.</w:t>
            </w:r>
          </w:p>
        </w:tc>
      </w:tr>
      <w:tr w:rsidR="00C1433D" w:rsidRPr="00D93C78" w:rsidTr="00740E9A">
        <w:tc>
          <w:tcPr>
            <w:tcW w:w="3348" w:type="dxa"/>
          </w:tcPr>
          <w:p w:rsidR="00C1433D" w:rsidRPr="00D93C78" w:rsidRDefault="00BB51AC" w:rsidP="00D93C78">
            <w:pPr>
              <w:pStyle w:val="BodyText"/>
              <w:tabs>
                <w:tab w:val="left" w:pos="360"/>
              </w:tabs>
              <w:ind w:left="360" w:hanging="360"/>
              <w:rPr>
                <w:b/>
                <w:bCs/>
                <w:szCs w:val="24"/>
              </w:rPr>
            </w:pPr>
            <w:r w:rsidRPr="00D93C78">
              <w:rPr>
                <w:b/>
                <w:bCs/>
                <w:szCs w:val="24"/>
              </w:rPr>
              <w:t>8</w:t>
            </w:r>
            <w:r w:rsidR="00C1433D" w:rsidRPr="00D93C78">
              <w:rPr>
                <w:b/>
                <w:bCs/>
                <w:szCs w:val="24"/>
              </w:rPr>
              <w:t>.</w:t>
            </w:r>
            <w:r w:rsidR="00C1433D" w:rsidRPr="00D93C78">
              <w:rPr>
                <w:b/>
                <w:bCs/>
                <w:szCs w:val="24"/>
              </w:rPr>
              <w:tab/>
              <w:t>Quality check process:</w:t>
            </w:r>
          </w:p>
        </w:tc>
        <w:tc>
          <w:tcPr>
            <w:tcW w:w="6507" w:type="dxa"/>
          </w:tcPr>
          <w:p w:rsidR="00C1433D" w:rsidRPr="00D93C78" w:rsidRDefault="00C1433D" w:rsidP="00D93C78">
            <w:pPr>
              <w:pStyle w:val="BodyText2"/>
              <w:rPr>
                <w:szCs w:val="24"/>
              </w:rPr>
            </w:pPr>
            <w:r w:rsidRPr="00D93C78">
              <w:rPr>
                <w:szCs w:val="24"/>
              </w:rPr>
              <w:t xml:space="preserve">Literature searches were conducted by sponsor country to determine if all relevant data have been included in this submission.  </w:t>
            </w:r>
          </w:p>
        </w:tc>
      </w:tr>
      <w:tr w:rsidR="00C1433D" w:rsidRPr="00D93C78" w:rsidTr="00740E9A">
        <w:tc>
          <w:tcPr>
            <w:tcW w:w="3348" w:type="dxa"/>
          </w:tcPr>
          <w:p w:rsidR="00C1433D" w:rsidRPr="00D93C78" w:rsidRDefault="00BB51AC" w:rsidP="00D93C78">
            <w:pPr>
              <w:pStyle w:val="BodyText"/>
              <w:tabs>
                <w:tab w:val="left" w:pos="360"/>
              </w:tabs>
              <w:rPr>
                <w:b/>
                <w:bCs/>
                <w:szCs w:val="24"/>
              </w:rPr>
            </w:pPr>
            <w:r w:rsidRPr="00D93C78">
              <w:rPr>
                <w:b/>
                <w:bCs/>
                <w:szCs w:val="24"/>
              </w:rPr>
              <w:t>9</w:t>
            </w:r>
            <w:r w:rsidR="00C1433D" w:rsidRPr="00D93C78">
              <w:rPr>
                <w:b/>
                <w:bCs/>
                <w:szCs w:val="24"/>
              </w:rPr>
              <w:t>.</w:t>
            </w:r>
            <w:r w:rsidR="00C1433D" w:rsidRPr="00D93C78">
              <w:rPr>
                <w:b/>
                <w:bCs/>
                <w:szCs w:val="24"/>
              </w:rPr>
              <w:tab/>
              <w:t>Date of Submission:</w:t>
            </w:r>
          </w:p>
        </w:tc>
        <w:tc>
          <w:tcPr>
            <w:tcW w:w="6507" w:type="dxa"/>
          </w:tcPr>
          <w:p w:rsidR="00C1433D" w:rsidRPr="00D93C78" w:rsidRDefault="005454C8" w:rsidP="00D93C78">
            <w:pPr>
              <w:pStyle w:val="BodyText2"/>
              <w:rPr>
                <w:szCs w:val="24"/>
              </w:rPr>
            </w:pPr>
            <w:r w:rsidRPr="00D93C78">
              <w:rPr>
                <w:szCs w:val="24"/>
              </w:rPr>
              <w:t xml:space="preserve">January </w:t>
            </w:r>
            <w:r w:rsidR="004F5FB9" w:rsidRPr="00D93C78">
              <w:rPr>
                <w:szCs w:val="24"/>
              </w:rPr>
              <w:t>8</w:t>
            </w:r>
            <w:r w:rsidRPr="00D93C78">
              <w:rPr>
                <w:szCs w:val="24"/>
              </w:rPr>
              <w:t>, 2013</w:t>
            </w:r>
          </w:p>
        </w:tc>
      </w:tr>
      <w:tr w:rsidR="00C1433D" w:rsidRPr="00D93C78" w:rsidTr="00740E9A">
        <w:tc>
          <w:tcPr>
            <w:tcW w:w="3348" w:type="dxa"/>
          </w:tcPr>
          <w:p w:rsidR="00C1433D" w:rsidRPr="00D93C78" w:rsidRDefault="00BB51AC" w:rsidP="00D93C78">
            <w:pPr>
              <w:pStyle w:val="BodyText"/>
              <w:tabs>
                <w:tab w:val="left" w:pos="360"/>
              </w:tabs>
              <w:rPr>
                <w:b/>
                <w:bCs/>
                <w:szCs w:val="24"/>
              </w:rPr>
            </w:pPr>
            <w:r w:rsidRPr="00D93C78">
              <w:rPr>
                <w:b/>
                <w:bCs/>
                <w:szCs w:val="24"/>
              </w:rPr>
              <w:t>10</w:t>
            </w:r>
            <w:r w:rsidR="00C1433D" w:rsidRPr="00D93C78">
              <w:rPr>
                <w:b/>
                <w:bCs/>
                <w:szCs w:val="24"/>
              </w:rPr>
              <w:t>.</w:t>
            </w:r>
            <w:r w:rsidR="00C1433D" w:rsidRPr="00D93C78">
              <w:rPr>
                <w:b/>
                <w:bCs/>
                <w:szCs w:val="24"/>
              </w:rPr>
              <w:tab/>
              <w:t>Date of last Update:</w:t>
            </w:r>
          </w:p>
        </w:tc>
        <w:tc>
          <w:tcPr>
            <w:tcW w:w="6507" w:type="dxa"/>
          </w:tcPr>
          <w:p w:rsidR="00C1433D" w:rsidRPr="00D93C78" w:rsidRDefault="00C1433D" w:rsidP="00D93C78">
            <w:pPr>
              <w:pStyle w:val="BodyText2"/>
              <w:rPr>
                <w:szCs w:val="24"/>
              </w:rPr>
            </w:pPr>
          </w:p>
        </w:tc>
      </w:tr>
      <w:tr w:rsidR="00C1433D" w:rsidRPr="00D93C78" w:rsidTr="00740E9A">
        <w:tc>
          <w:tcPr>
            <w:tcW w:w="3348" w:type="dxa"/>
          </w:tcPr>
          <w:p w:rsidR="00C1433D" w:rsidRPr="00D93C78" w:rsidRDefault="00C1433D" w:rsidP="00D93C78">
            <w:pPr>
              <w:pStyle w:val="BodyText"/>
              <w:tabs>
                <w:tab w:val="left" w:pos="360"/>
              </w:tabs>
              <w:rPr>
                <w:b/>
                <w:bCs/>
                <w:szCs w:val="24"/>
              </w:rPr>
            </w:pPr>
            <w:r w:rsidRPr="00D93C78">
              <w:rPr>
                <w:b/>
                <w:bCs/>
                <w:szCs w:val="24"/>
              </w:rPr>
              <w:t>1</w:t>
            </w:r>
            <w:r w:rsidR="00BB51AC" w:rsidRPr="00D93C78">
              <w:rPr>
                <w:b/>
                <w:bCs/>
                <w:szCs w:val="24"/>
              </w:rPr>
              <w:t>1</w:t>
            </w:r>
            <w:r w:rsidRPr="00D93C78">
              <w:rPr>
                <w:b/>
                <w:bCs/>
                <w:szCs w:val="24"/>
              </w:rPr>
              <w:t>.</w:t>
            </w:r>
            <w:r w:rsidRPr="00D93C78">
              <w:rPr>
                <w:b/>
                <w:bCs/>
                <w:szCs w:val="24"/>
              </w:rPr>
              <w:tab/>
              <w:t>Comments:</w:t>
            </w:r>
          </w:p>
        </w:tc>
        <w:tc>
          <w:tcPr>
            <w:tcW w:w="6507" w:type="dxa"/>
          </w:tcPr>
          <w:p w:rsidR="00C1433D" w:rsidRDefault="00A867A7" w:rsidP="00D93C78">
            <w:pPr>
              <w:pStyle w:val="BodyText"/>
              <w:rPr>
                <w:szCs w:val="24"/>
              </w:rPr>
            </w:pPr>
            <w:r w:rsidRPr="00D93C78">
              <w:rPr>
                <w:szCs w:val="24"/>
              </w:rPr>
              <w:t xml:space="preserve">The </w:t>
            </w:r>
            <w:r w:rsidR="002050D5" w:rsidRPr="00D93C78">
              <w:rPr>
                <w:szCs w:val="24"/>
              </w:rPr>
              <w:t>vinyl</w:t>
            </w:r>
            <w:r w:rsidR="00413FFD" w:rsidRPr="00D93C78">
              <w:rPr>
                <w:szCs w:val="24"/>
              </w:rPr>
              <w:t xml:space="preserve"> chlorosilanes</w:t>
            </w:r>
            <w:r w:rsidR="007D2749" w:rsidRPr="00D93C78">
              <w:rPr>
                <w:szCs w:val="24"/>
              </w:rPr>
              <w:t xml:space="preserve"> </w:t>
            </w:r>
            <w:r w:rsidR="00B04FCA" w:rsidRPr="00D93C78">
              <w:rPr>
                <w:szCs w:val="24"/>
              </w:rPr>
              <w:t xml:space="preserve">category </w:t>
            </w:r>
            <w:r w:rsidR="00C1433D" w:rsidRPr="00D93C78">
              <w:rPr>
                <w:szCs w:val="24"/>
              </w:rPr>
              <w:t xml:space="preserve">uses data from the hydrolysis product hydrogen chloride (HCl; CAS No. 7647-01-0), which was presented and agreed upon under the OECD HPV Chemicals Program. These documents are available for review at </w:t>
            </w:r>
            <w:hyperlink r:id="rId15" w:history="1">
              <w:r w:rsidR="005454C8" w:rsidRPr="00D93C78">
                <w:rPr>
                  <w:rStyle w:val="Hyperlink"/>
                  <w:sz w:val="24"/>
                  <w:szCs w:val="24"/>
                </w:rPr>
                <w:t>http://www.oecd.org/env/hazard/data</w:t>
              </w:r>
            </w:hyperlink>
            <w:r w:rsidR="00037B87" w:rsidRPr="00D93C78">
              <w:rPr>
                <w:szCs w:val="24"/>
              </w:rPr>
              <w:fldChar w:fldCharType="begin"/>
            </w:r>
            <w:r w:rsidR="00C1433D" w:rsidRPr="00D93C78">
              <w:rPr>
                <w:szCs w:val="24"/>
              </w:rPr>
              <w:instrText xml:space="preserve"> http://www.chem.unep.ch/irptc/sids/OECDSIDS/7647010.pdf </w:instrText>
            </w:r>
            <w:r w:rsidR="00037B87" w:rsidRPr="00D93C78">
              <w:rPr>
                <w:szCs w:val="24"/>
              </w:rPr>
              <w:fldChar w:fldCharType="separate"/>
            </w:r>
            <w:r w:rsidR="00C1433D" w:rsidRPr="00D93C78">
              <w:rPr>
                <w:rStyle w:val="Hyperlink"/>
                <w:sz w:val="24"/>
                <w:szCs w:val="24"/>
              </w:rPr>
              <w:t>http://www.chem.unep.ch/irptc/sids/OECDSIDS/64175.pdf</w:t>
            </w:r>
            <w:r w:rsidR="00037B87" w:rsidRPr="00D93C78">
              <w:rPr>
                <w:szCs w:val="24"/>
              </w:rPr>
              <w:fldChar w:fldCharType="end"/>
            </w:r>
            <w:r w:rsidR="00BB51AC" w:rsidRPr="00D93C78">
              <w:rPr>
                <w:szCs w:val="24"/>
              </w:rPr>
              <w:t>.</w:t>
            </w:r>
            <w:r w:rsidR="00C1433D" w:rsidRPr="00D93C78">
              <w:rPr>
                <w:szCs w:val="24"/>
              </w:rPr>
              <w:t xml:space="preserve">  </w:t>
            </w:r>
            <w:r w:rsidR="00B04FCA" w:rsidRPr="00D93C78">
              <w:rPr>
                <w:szCs w:val="24"/>
              </w:rPr>
              <w:t xml:space="preserve">The </w:t>
            </w:r>
            <w:r w:rsidR="002050D5" w:rsidRPr="00D93C78">
              <w:rPr>
                <w:szCs w:val="24"/>
              </w:rPr>
              <w:t>vinyl</w:t>
            </w:r>
            <w:r w:rsidR="00413FFD" w:rsidRPr="00D93C78">
              <w:rPr>
                <w:szCs w:val="24"/>
              </w:rPr>
              <w:t xml:space="preserve"> chlorosilanes</w:t>
            </w:r>
            <w:r w:rsidR="004D17E7" w:rsidRPr="00D93C78">
              <w:rPr>
                <w:szCs w:val="24"/>
              </w:rPr>
              <w:t xml:space="preserve"> </w:t>
            </w:r>
            <w:r w:rsidR="00B04FCA" w:rsidRPr="00D93C78">
              <w:rPr>
                <w:szCs w:val="24"/>
              </w:rPr>
              <w:t xml:space="preserve">category </w:t>
            </w:r>
            <w:r w:rsidR="00C1433D" w:rsidRPr="00D93C78">
              <w:rPr>
                <w:szCs w:val="24"/>
              </w:rPr>
              <w:t>also use</w:t>
            </w:r>
            <w:r w:rsidR="00D5138E" w:rsidRPr="00D93C78">
              <w:rPr>
                <w:szCs w:val="24"/>
              </w:rPr>
              <w:t>s</w:t>
            </w:r>
            <w:r w:rsidR="00C1433D" w:rsidRPr="00D93C78">
              <w:rPr>
                <w:szCs w:val="24"/>
              </w:rPr>
              <w:t xml:space="preserve"> data from </w:t>
            </w:r>
            <w:r w:rsidR="002050D5" w:rsidRPr="00D93C78">
              <w:rPr>
                <w:szCs w:val="24"/>
              </w:rPr>
              <w:t xml:space="preserve">a </w:t>
            </w:r>
            <w:r w:rsidR="00C1433D" w:rsidRPr="00D93C78">
              <w:rPr>
                <w:szCs w:val="24"/>
              </w:rPr>
              <w:t xml:space="preserve">structurally similar, highly reactive alkylsilane, </w:t>
            </w:r>
            <w:r w:rsidR="002050D5" w:rsidRPr="00D93C78">
              <w:rPr>
                <w:szCs w:val="24"/>
              </w:rPr>
              <w:t>trimethoxyvinylsilane</w:t>
            </w:r>
            <w:r w:rsidR="00D90513" w:rsidRPr="00D93C78">
              <w:rPr>
                <w:szCs w:val="24"/>
              </w:rPr>
              <w:t xml:space="preserve"> (</w:t>
            </w:r>
            <w:r w:rsidR="002050D5" w:rsidRPr="00D93C78">
              <w:rPr>
                <w:szCs w:val="24"/>
              </w:rPr>
              <w:t>V</w:t>
            </w:r>
            <w:r w:rsidR="00D90513" w:rsidRPr="00D93C78">
              <w:rPr>
                <w:szCs w:val="24"/>
              </w:rPr>
              <w:t>TMS</w:t>
            </w:r>
            <w:r w:rsidR="00605D69" w:rsidRPr="00D93C78">
              <w:rPr>
                <w:szCs w:val="24"/>
              </w:rPr>
              <w:t xml:space="preserve">; </w:t>
            </w:r>
            <w:r w:rsidR="00C1433D" w:rsidRPr="00D93C78">
              <w:rPr>
                <w:szCs w:val="24"/>
              </w:rPr>
              <w:t xml:space="preserve">CAS No. </w:t>
            </w:r>
            <w:r w:rsidR="002050D5" w:rsidRPr="00D93C78">
              <w:rPr>
                <w:szCs w:val="24"/>
              </w:rPr>
              <w:t>2768-02-7</w:t>
            </w:r>
            <w:r w:rsidR="00C1433D" w:rsidRPr="00D93C78">
              <w:rPr>
                <w:szCs w:val="24"/>
              </w:rPr>
              <w:t>)</w:t>
            </w:r>
            <w:r w:rsidR="001B2DB6" w:rsidRPr="00D93C78">
              <w:rPr>
                <w:szCs w:val="24"/>
              </w:rPr>
              <w:t xml:space="preserve"> </w:t>
            </w:r>
            <w:r w:rsidR="00BB51AC" w:rsidRPr="00D93C78">
              <w:rPr>
                <w:szCs w:val="24"/>
              </w:rPr>
              <w:t>which</w:t>
            </w:r>
            <w:r w:rsidR="00C1433D" w:rsidRPr="00D93C78">
              <w:rPr>
                <w:szCs w:val="24"/>
              </w:rPr>
              <w:t xml:space="preserve"> </w:t>
            </w:r>
            <w:r w:rsidR="002050D5" w:rsidRPr="00D93C78">
              <w:rPr>
                <w:szCs w:val="24"/>
              </w:rPr>
              <w:t>was</w:t>
            </w:r>
            <w:r w:rsidR="00C1433D" w:rsidRPr="00D93C78">
              <w:rPr>
                <w:szCs w:val="24"/>
              </w:rPr>
              <w:t xml:space="preserve"> sponsored under the OECD SIDS Program</w:t>
            </w:r>
            <w:r w:rsidR="00BB51AC" w:rsidRPr="00D93C78">
              <w:rPr>
                <w:szCs w:val="24"/>
              </w:rPr>
              <w:t xml:space="preserve"> (</w:t>
            </w:r>
            <w:hyperlink r:id="rId16" w:history="1">
              <w:r w:rsidR="005454C8" w:rsidRPr="00D93C78">
                <w:rPr>
                  <w:rStyle w:val="Hyperlink"/>
                  <w:sz w:val="24"/>
                  <w:szCs w:val="24"/>
                </w:rPr>
                <w:t>http://www.oecd.org/env/hazard/data</w:t>
              </w:r>
            </w:hyperlink>
            <w:r w:rsidR="00BB51AC" w:rsidRPr="00D93C78">
              <w:rPr>
                <w:szCs w:val="24"/>
              </w:rPr>
              <w:t>)</w:t>
            </w:r>
            <w:r w:rsidR="00324E22" w:rsidRPr="00D93C78">
              <w:rPr>
                <w:szCs w:val="24"/>
              </w:rPr>
              <w:t xml:space="preserve"> and dimethylsilanediol (CAS No. 1066-42-8)</w:t>
            </w:r>
            <w:r w:rsidR="00454076" w:rsidRPr="00D93C78">
              <w:rPr>
                <w:szCs w:val="24"/>
              </w:rPr>
              <w:t>.</w:t>
            </w:r>
            <w:r w:rsidR="00FB3A8E" w:rsidRPr="00D93C78">
              <w:rPr>
                <w:szCs w:val="24"/>
              </w:rPr>
              <w:t xml:space="preserve"> Hydrolysis half-lives </w:t>
            </w:r>
            <w:r w:rsidR="00102F48" w:rsidRPr="00D93C78">
              <w:rPr>
                <w:szCs w:val="24"/>
              </w:rPr>
              <w:t xml:space="preserve">of the vinyl chlorosilanes </w:t>
            </w:r>
            <w:r w:rsidR="00FB3A8E" w:rsidRPr="00D93C78">
              <w:rPr>
                <w:szCs w:val="24"/>
              </w:rPr>
              <w:t>are predicted using data from structurally similar chlorosilanes, dichloro(dimethyl)silane (CAS No. 75-78-5) and trichloro(methyl)silane (CAS No. 75-79-6).</w:t>
            </w:r>
            <w:r w:rsidR="00324E22" w:rsidRPr="00D93C78">
              <w:rPr>
                <w:szCs w:val="24"/>
              </w:rPr>
              <w:t xml:space="preserve"> </w:t>
            </w:r>
          </w:p>
          <w:p w:rsidR="00405A21" w:rsidRPr="00405A21" w:rsidRDefault="00405A21" w:rsidP="00405A21">
            <w:pPr>
              <w:overflowPunct w:val="0"/>
              <w:autoSpaceDE w:val="0"/>
              <w:autoSpaceDN w:val="0"/>
              <w:adjustRightInd w:val="0"/>
              <w:jc w:val="both"/>
              <w:textAlignment w:val="baseline"/>
            </w:pPr>
            <w:bookmarkStart w:id="0" w:name="OLE_LINK1"/>
            <w:bookmarkStart w:id="1" w:name="OLE_LINK2"/>
            <w:r w:rsidRPr="00405A21">
              <w:t>The summaries and evaluations contained in this assessment report may be based on unpublished proprietary data submitted for the purpose of the OECD assessment. In many cases, national/regional regulatory authorities will not accept a regulatory submission based on the summaries and evaluation of unpublished proprietary data contained in this [these] assessment report[s] unless they have received the data on which the summaries and evaluation are based, either from:</w:t>
            </w:r>
          </w:p>
          <w:p w:rsidR="00405A21" w:rsidRPr="00405A21" w:rsidRDefault="00405A21" w:rsidP="00405A21">
            <w:pPr>
              <w:numPr>
                <w:ilvl w:val="0"/>
                <w:numId w:val="7"/>
              </w:numPr>
              <w:overflowPunct w:val="0"/>
              <w:autoSpaceDE w:val="0"/>
              <w:autoSpaceDN w:val="0"/>
              <w:adjustRightInd w:val="0"/>
              <w:jc w:val="both"/>
              <w:textAlignment w:val="baseline"/>
              <w:rPr>
                <w:rFonts w:eastAsia="Calibri"/>
              </w:rPr>
            </w:pPr>
            <w:r w:rsidRPr="00405A21">
              <w:rPr>
                <w:rFonts w:eastAsia="Calibri"/>
              </w:rPr>
              <w:t>the owner of the data; or</w:t>
            </w:r>
          </w:p>
          <w:p w:rsidR="00405A21" w:rsidRPr="00405A21" w:rsidRDefault="00405A21" w:rsidP="00405A21">
            <w:pPr>
              <w:numPr>
                <w:ilvl w:val="0"/>
                <w:numId w:val="7"/>
              </w:numPr>
              <w:overflowPunct w:val="0"/>
              <w:autoSpaceDE w:val="0"/>
              <w:autoSpaceDN w:val="0"/>
              <w:adjustRightInd w:val="0"/>
              <w:jc w:val="both"/>
              <w:textAlignment w:val="baseline"/>
              <w:rPr>
                <w:rFonts w:eastAsia="Calibri"/>
              </w:rPr>
            </w:pPr>
            <w:r w:rsidRPr="00405A21">
              <w:rPr>
                <w:rFonts w:eastAsia="Calibri"/>
              </w:rPr>
              <w:t>a second party that has obtained permission from the owner of the data for this purpose; or alternatively</w:t>
            </w:r>
          </w:p>
          <w:p w:rsidR="00405A21" w:rsidRPr="00405A21" w:rsidRDefault="00405A21" w:rsidP="00405A21">
            <w:pPr>
              <w:numPr>
                <w:ilvl w:val="0"/>
                <w:numId w:val="7"/>
              </w:numPr>
              <w:overflowPunct w:val="0"/>
              <w:autoSpaceDE w:val="0"/>
              <w:autoSpaceDN w:val="0"/>
              <w:adjustRightInd w:val="0"/>
              <w:jc w:val="both"/>
              <w:textAlignment w:val="baseline"/>
              <w:rPr>
                <w:rFonts w:eastAsia="Calibri"/>
              </w:rPr>
            </w:pPr>
            <w:r w:rsidRPr="00405A21">
              <w:rPr>
                <w:rFonts w:eastAsia="Calibri"/>
              </w:rPr>
              <w:t>the applicant has received permission from the data owner that the summary and evaluation contained in this [these] assessment report[s] may be used in lieu of the data; or</w:t>
            </w:r>
          </w:p>
          <w:p w:rsidR="00405A21" w:rsidRPr="00405A21" w:rsidRDefault="00405A21" w:rsidP="00405A21">
            <w:pPr>
              <w:numPr>
                <w:ilvl w:val="0"/>
                <w:numId w:val="7"/>
              </w:numPr>
              <w:overflowPunct w:val="0"/>
              <w:autoSpaceDE w:val="0"/>
              <w:autoSpaceDN w:val="0"/>
              <w:adjustRightInd w:val="0"/>
              <w:jc w:val="both"/>
              <w:textAlignment w:val="baseline"/>
              <w:rPr>
                <w:rFonts w:eastAsia="Calibri"/>
              </w:rPr>
            </w:pPr>
            <w:r w:rsidRPr="00405A21">
              <w:rPr>
                <w:rFonts w:eastAsia="Calibri"/>
              </w:rPr>
              <w:t xml:space="preserve">following expiry of any period of exclusive use, mandatory compensation, where required, has been offered unless the period of protection for the </w:t>
            </w:r>
            <w:r w:rsidRPr="00405A21">
              <w:rPr>
                <w:rFonts w:eastAsia="Calibri"/>
              </w:rPr>
              <w:lastRenderedPageBreak/>
              <w:t>proprietary data concerned has expired.</w:t>
            </w:r>
          </w:p>
          <w:p w:rsidR="00405A21" w:rsidRPr="00405A21" w:rsidRDefault="00405A21" w:rsidP="00405A21">
            <w:pPr>
              <w:overflowPunct w:val="0"/>
              <w:autoSpaceDE w:val="0"/>
              <w:autoSpaceDN w:val="0"/>
              <w:adjustRightInd w:val="0"/>
              <w:jc w:val="both"/>
              <w:textAlignment w:val="baseline"/>
              <w:rPr>
                <w:lang w:val="en-AU"/>
              </w:rPr>
            </w:pPr>
            <w:r w:rsidRPr="00405A21">
              <w:rPr>
                <w:lang w:val="en-AU"/>
              </w:rPr>
              <w:t>Applicants who wish to use data in this assessment report should ensure that the use is consistent with the legal requirements in the country/region in which it is proposed to use the data.</w:t>
            </w:r>
          </w:p>
          <w:bookmarkEnd w:id="0"/>
          <w:bookmarkEnd w:id="1"/>
          <w:p w:rsidR="00405A21" w:rsidRPr="00405A21" w:rsidRDefault="00405A21" w:rsidP="00D93C78">
            <w:pPr>
              <w:pStyle w:val="BodyText"/>
              <w:rPr>
                <w:szCs w:val="24"/>
                <w:highlight w:val="yellow"/>
                <w:lang w:val="en-AU"/>
              </w:rPr>
            </w:pPr>
          </w:p>
        </w:tc>
      </w:tr>
    </w:tbl>
    <w:p w:rsidR="00C1433D" w:rsidRPr="00D93C78" w:rsidRDefault="00C1433D" w:rsidP="00D93C78">
      <w:pPr>
        <w:pStyle w:val="BodyText"/>
        <w:rPr>
          <w:szCs w:val="24"/>
          <w:lang w:val="en-US"/>
        </w:rPr>
      </w:pPr>
    </w:p>
    <w:p w:rsidR="00C1433D" w:rsidRPr="00D93C78" w:rsidRDefault="00C1433D" w:rsidP="00D93C78">
      <w:pPr>
        <w:pStyle w:val="BodyText"/>
        <w:rPr>
          <w:szCs w:val="24"/>
          <w:lang w:val="en-US"/>
        </w:rPr>
        <w:sectPr w:rsidR="00C1433D" w:rsidRPr="00D93C78" w:rsidSect="0013109D">
          <w:headerReference w:type="even" r:id="rId17"/>
          <w:headerReference w:type="default" r:id="rId18"/>
          <w:footerReference w:type="even" r:id="rId19"/>
          <w:footerReference w:type="default" r:id="rId20"/>
          <w:headerReference w:type="first" r:id="rId21"/>
          <w:pgSz w:w="11907" w:h="16840" w:code="9"/>
          <w:pgMar w:top="1418" w:right="1134" w:bottom="1134" w:left="1134" w:header="737" w:footer="737" w:gutter="0"/>
          <w:cols w:space="720"/>
          <w:docGrid w:linePitch="360"/>
        </w:sectPr>
      </w:pPr>
    </w:p>
    <w:p w:rsidR="009F0C77" w:rsidRPr="009F0C77" w:rsidRDefault="009F0C77" w:rsidP="009F0C77">
      <w:pPr>
        <w:keepNext/>
        <w:tabs>
          <w:tab w:val="left" w:pos="850"/>
          <w:tab w:val="left" w:pos="1191"/>
          <w:tab w:val="left" w:pos="1531"/>
        </w:tabs>
        <w:spacing w:before="120" w:after="120"/>
        <w:jc w:val="center"/>
        <w:rPr>
          <w:b/>
          <w:bCs/>
          <w:caps/>
          <w:sz w:val="22"/>
          <w:szCs w:val="22"/>
          <w:u w:val="single"/>
          <w:lang w:val="en-GB"/>
        </w:rPr>
      </w:pPr>
      <w:r w:rsidRPr="009F0C77">
        <w:rPr>
          <w:b/>
          <w:bCs/>
          <w:caps/>
          <w:sz w:val="22"/>
          <w:szCs w:val="22"/>
          <w:u w:val="single"/>
          <w:lang w:val="en-GB"/>
        </w:rPr>
        <w:t>SIDS initial assessment PROFILE</w:t>
      </w:r>
    </w:p>
    <w:tbl>
      <w:tblPr>
        <w:tblW w:w="4850" w:type="pct"/>
        <w:tblInd w:w="170" w:type="dxa"/>
        <w:tblLayout w:type="fixed"/>
        <w:tblCellMar>
          <w:left w:w="70" w:type="dxa"/>
          <w:right w:w="70" w:type="dxa"/>
        </w:tblCellMar>
        <w:tblLook w:val="0000" w:firstRow="0" w:lastRow="0" w:firstColumn="0" w:lastColumn="0" w:noHBand="0" w:noVBand="0"/>
      </w:tblPr>
      <w:tblGrid>
        <w:gridCol w:w="3303"/>
        <w:gridCol w:w="6183"/>
      </w:tblGrid>
      <w:tr w:rsidR="009F0C77" w:rsidRPr="009F0C77" w:rsidTr="009F0C77">
        <w:trPr>
          <w:trHeight w:hRule="exact" w:val="720"/>
        </w:trPr>
        <w:tc>
          <w:tcPr>
            <w:tcW w:w="3331" w:type="dxa"/>
            <w:tcBorders>
              <w:top w:val="double" w:sz="6" w:space="0" w:color="auto"/>
              <w:left w:val="double" w:sz="6" w:space="0" w:color="auto"/>
              <w:bottom w:val="single" w:sz="12" w:space="0" w:color="auto"/>
              <w:right w:val="double" w:sz="6" w:space="0" w:color="auto"/>
            </w:tcBorders>
            <w:shd w:val="pct10" w:color="auto" w:fill="auto"/>
            <w:vAlign w:val="center"/>
          </w:tcPr>
          <w:p w:rsidR="009F0C77" w:rsidRPr="009F0C77" w:rsidRDefault="009F0C77" w:rsidP="009F0C77">
            <w:pPr>
              <w:tabs>
                <w:tab w:val="left" w:pos="851"/>
                <w:tab w:val="left" w:pos="1191"/>
                <w:tab w:val="left" w:pos="1531"/>
              </w:tabs>
              <w:spacing w:before="240"/>
              <w:ind w:left="284"/>
              <w:jc w:val="center"/>
              <w:rPr>
                <w:b/>
                <w:sz w:val="22"/>
                <w:szCs w:val="22"/>
                <w:lang w:val="en-GB"/>
              </w:rPr>
            </w:pPr>
            <w:r w:rsidRPr="009F0C77">
              <w:rPr>
                <w:b/>
                <w:sz w:val="22"/>
                <w:szCs w:val="22"/>
                <w:lang w:val="en-GB"/>
              </w:rPr>
              <w:t>Category Name</w:t>
            </w:r>
          </w:p>
          <w:p w:rsidR="009F0C77" w:rsidRPr="009F0C77" w:rsidRDefault="009F0C77" w:rsidP="009F0C77">
            <w:pPr>
              <w:tabs>
                <w:tab w:val="left" w:pos="851"/>
                <w:tab w:val="left" w:pos="1191"/>
                <w:tab w:val="left" w:pos="1531"/>
              </w:tabs>
              <w:spacing w:before="240"/>
              <w:ind w:left="284"/>
              <w:jc w:val="center"/>
              <w:rPr>
                <w:b/>
                <w:sz w:val="22"/>
                <w:szCs w:val="22"/>
                <w:lang w:val="en-GB"/>
              </w:rPr>
            </w:pPr>
          </w:p>
          <w:p w:rsidR="009F0C77" w:rsidRPr="009F0C77" w:rsidRDefault="009F0C77" w:rsidP="009F0C77">
            <w:pPr>
              <w:tabs>
                <w:tab w:val="left" w:pos="851"/>
                <w:tab w:val="left" w:pos="1191"/>
                <w:tab w:val="left" w:pos="1531"/>
              </w:tabs>
              <w:spacing w:before="240"/>
              <w:ind w:left="284"/>
              <w:jc w:val="center"/>
              <w:rPr>
                <w:b/>
                <w:sz w:val="22"/>
                <w:szCs w:val="22"/>
                <w:lang w:val="en-GB"/>
              </w:rPr>
            </w:pPr>
          </w:p>
        </w:tc>
        <w:tc>
          <w:tcPr>
            <w:tcW w:w="6237" w:type="dxa"/>
            <w:tcBorders>
              <w:top w:val="double" w:sz="6" w:space="0" w:color="auto"/>
              <w:left w:val="double" w:sz="6" w:space="0" w:color="auto"/>
              <w:bottom w:val="single" w:sz="12" w:space="0" w:color="auto"/>
              <w:right w:val="double" w:sz="6" w:space="0" w:color="auto"/>
            </w:tcBorders>
            <w:vAlign w:val="center"/>
          </w:tcPr>
          <w:p w:rsidR="009F0C77" w:rsidRPr="009F0C77" w:rsidRDefault="009F0C77" w:rsidP="009F0C77">
            <w:pPr>
              <w:tabs>
                <w:tab w:val="left" w:pos="851"/>
                <w:tab w:val="left" w:pos="1191"/>
                <w:tab w:val="left" w:pos="1531"/>
              </w:tabs>
              <w:spacing w:before="240"/>
              <w:jc w:val="center"/>
              <w:rPr>
                <w:sz w:val="22"/>
                <w:szCs w:val="22"/>
                <w:lang w:val="en-GB"/>
              </w:rPr>
            </w:pPr>
            <w:r w:rsidRPr="009F0C77">
              <w:rPr>
                <w:sz w:val="22"/>
                <w:szCs w:val="22"/>
                <w:lang w:val="en-GB"/>
              </w:rPr>
              <w:t>Vinyl Chlorosilanes</w:t>
            </w:r>
          </w:p>
        </w:tc>
      </w:tr>
      <w:tr w:rsidR="009F0C77" w:rsidRPr="009F0C77" w:rsidTr="009F0C77">
        <w:trPr>
          <w:trHeight w:hRule="exact" w:val="979"/>
        </w:trPr>
        <w:tc>
          <w:tcPr>
            <w:tcW w:w="3331" w:type="dxa"/>
            <w:tcBorders>
              <w:top w:val="single" w:sz="12" w:space="0" w:color="auto"/>
              <w:left w:val="double" w:sz="6" w:space="0" w:color="auto"/>
              <w:bottom w:val="single" w:sz="12" w:space="0" w:color="auto"/>
              <w:right w:val="double" w:sz="6" w:space="0" w:color="auto"/>
            </w:tcBorders>
            <w:shd w:val="pct10" w:color="auto" w:fill="auto"/>
            <w:vAlign w:val="center"/>
          </w:tcPr>
          <w:p w:rsidR="009F0C77" w:rsidRPr="009F0C77" w:rsidRDefault="009F0C77" w:rsidP="009F0C77">
            <w:pPr>
              <w:tabs>
                <w:tab w:val="left" w:pos="851"/>
                <w:tab w:val="left" w:pos="1191"/>
                <w:tab w:val="left" w:pos="1531"/>
              </w:tabs>
              <w:spacing w:before="240"/>
              <w:ind w:left="284"/>
              <w:jc w:val="center"/>
              <w:rPr>
                <w:caps/>
                <w:sz w:val="22"/>
                <w:szCs w:val="22"/>
                <w:lang w:val="en-GB"/>
              </w:rPr>
            </w:pPr>
            <w:r w:rsidRPr="009F0C77">
              <w:rPr>
                <w:b/>
                <w:sz w:val="22"/>
                <w:szCs w:val="22"/>
                <w:lang w:val="en-GB"/>
              </w:rPr>
              <w:t>CAS No(s).</w:t>
            </w:r>
          </w:p>
        </w:tc>
        <w:tc>
          <w:tcPr>
            <w:tcW w:w="6237" w:type="dxa"/>
            <w:tcBorders>
              <w:top w:val="single" w:sz="12" w:space="0" w:color="auto"/>
              <w:left w:val="double" w:sz="6" w:space="0" w:color="auto"/>
              <w:bottom w:val="single" w:sz="12" w:space="0" w:color="auto"/>
              <w:right w:val="double" w:sz="6" w:space="0" w:color="auto"/>
            </w:tcBorders>
            <w:vAlign w:val="center"/>
          </w:tcPr>
          <w:p w:rsidR="009F0C77" w:rsidRPr="009F0C77" w:rsidRDefault="009F0C77" w:rsidP="009F0C77">
            <w:pPr>
              <w:tabs>
                <w:tab w:val="left" w:pos="851"/>
                <w:tab w:val="left" w:pos="1191"/>
                <w:tab w:val="left" w:pos="1531"/>
              </w:tabs>
              <w:jc w:val="center"/>
              <w:rPr>
                <w:sz w:val="22"/>
                <w:szCs w:val="22"/>
                <w:lang w:val="en-GB"/>
              </w:rPr>
            </w:pPr>
            <w:r w:rsidRPr="009F0C77">
              <w:rPr>
                <w:sz w:val="22"/>
                <w:szCs w:val="22"/>
                <w:lang w:val="en-GB"/>
              </w:rPr>
              <w:t>124-70-9</w:t>
            </w:r>
          </w:p>
          <w:p w:rsidR="009F0C77" w:rsidRPr="009F0C77" w:rsidRDefault="009F0C77" w:rsidP="009F0C77">
            <w:pPr>
              <w:tabs>
                <w:tab w:val="left" w:pos="851"/>
                <w:tab w:val="left" w:pos="1191"/>
                <w:tab w:val="left" w:pos="1531"/>
              </w:tabs>
              <w:jc w:val="center"/>
              <w:rPr>
                <w:sz w:val="22"/>
                <w:szCs w:val="22"/>
                <w:lang w:val="en-GB"/>
              </w:rPr>
            </w:pPr>
            <w:r w:rsidRPr="009F0C77">
              <w:rPr>
                <w:sz w:val="22"/>
                <w:szCs w:val="22"/>
                <w:lang w:val="en-GB"/>
              </w:rPr>
              <w:t>75-94-5</w:t>
            </w:r>
          </w:p>
        </w:tc>
      </w:tr>
      <w:tr w:rsidR="009F0C77" w:rsidRPr="009F0C77" w:rsidTr="009F0C77">
        <w:trPr>
          <w:trHeight w:hRule="exact" w:val="988"/>
        </w:trPr>
        <w:tc>
          <w:tcPr>
            <w:tcW w:w="3331" w:type="dxa"/>
            <w:tcBorders>
              <w:top w:val="single" w:sz="12" w:space="0" w:color="auto"/>
              <w:left w:val="double" w:sz="6" w:space="0" w:color="auto"/>
              <w:bottom w:val="single" w:sz="12" w:space="0" w:color="auto"/>
              <w:right w:val="double" w:sz="6" w:space="0" w:color="auto"/>
            </w:tcBorders>
            <w:shd w:val="pct10" w:color="auto" w:fill="auto"/>
            <w:vAlign w:val="center"/>
          </w:tcPr>
          <w:p w:rsidR="009F0C77" w:rsidRPr="009F0C77" w:rsidRDefault="009F0C77" w:rsidP="009F0C77">
            <w:pPr>
              <w:tabs>
                <w:tab w:val="left" w:pos="851"/>
                <w:tab w:val="left" w:pos="1191"/>
                <w:tab w:val="left" w:pos="1531"/>
              </w:tabs>
              <w:spacing w:before="240"/>
              <w:ind w:left="284"/>
              <w:jc w:val="center"/>
              <w:rPr>
                <w:caps/>
                <w:sz w:val="22"/>
                <w:szCs w:val="22"/>
                <w:lang w:val="en-GB"/>
              </w:rPr>
            </w:pPr>
            <w:r w:rsidRPr="009F0C77">
              <w:rPr>
                <w:b/>
                <w:sz w:val="22"/>
                <w:szCs w:val="22"/>
                <w:lang w:val="en-GB"/>
              </w:rPr>
              <w:t>Chemical Name(s)</w:t>
            </w:r>
          </w:p>
        </w:tc>
        <w:tc>
          <w:tcPr>
            <w:tcW w:w="6237" w:type="dxa"/>
            <w:tcBorders>
              <w:top w:val="single" w:sz="12" w:space="0" w:color="auto"/>
              <w:left w:val="double" w:sz="6" w:space="0" w:color="auto"/>
              <w:bottom w:val="single" w:sz="12" w:space="0" w:color="auto"/>
              <w:right w:val="double" w:sz="6" w:space="0" w:color="auto"/>
            </w:tcBorders>
            <w:vAlign w:val="center"/>
          </w:tcPr>
          <w:p w:rsidR="009F0C77" w:rsidRPr="009F0C77" w:rsidRDefault="009F0C77" w:rsidP="009F0C77">
            <w:pPr>
              <w:tabs>
                <w:tab w:val="left" w:pos="851"/>
                <w:tab w:val="left" w:pos="1191"/>
                <w:tab w:val="left" w:pos="1531"/>
              </w:tabs>
              <w:jc w:val="center"/>
              <w:rPr>
                <w:sz w:val="22"/>
                <w:szCs w:val="22"/>
                <w:lang w:val="en-GB"/>
              </w:rPr>
            </w:pPr>
            <w:r w:rsidRPr="009F0C77">
              <w:rPr>
                <w:sz w:val="22"/>
                <w:szCs w:val="22"/>
                <w:lang w:val="en-GB"/>
              </w:rPr>
              <w:t>Dichloromethyl(vinyl)silane (</w:t>
            </w:r>
            <w:r w:rsidRPr="009F0C77">
              <w:rPr>
                <w:b/>
                <w:sz w:val="22"/>
                <w:szCs w:val="22"/>
                <w:lang w:val="en-GB"/>
              </w:rPr>
              <w:t>VDCS</w:t>
            </w:r>
            <w:r w:rsidRPr="009F0C77">
              <w:rPr>
                <w:sz w:val="22"/>
                <w:szCs w:val="22"/>
                <w:lang w:val="en-GB"/>
              </w:rPr>
              <w:t>)</w:t>
            </w:r>
          </w:p>
          <w:p w:rsidR="009F0C77" w:rsidRPr="009F0C77" w:rsidRDefault="009F0C77" w:rsidP="009F0C77">
            <w:pPr>
              <w:tabs>
                <w:tab w:val="left" w:pos="851"/>
                <w:tab w:val="left" w:pos="1191"/>
                <w:tab w:val="left" w:pos="1531"/>
              </w:tabs>
              <w:jc w:val="center"/>
              <w:rPr>
                <w:sz w:val="22"/>
                <w:szCs w:val="22"/>
                <w:lang w:val="en-GB"/>
              </w:rPr>
            </w:pPr>
            <w:r w:rsidRPr="009F0C77">
              <w:rPr>
                <w:sz w:val="22"/>
                <w:szCs w:val="22"/>
                <w:lang w:val="en-GB"/>
              </w:rPr>
              <w:t>Trichlorovinylsilane (</w:t>
            </w:r>
            <w:r w:rsidRPr="009F0C77">
              <w:rPr>
                <w:b/>
                <w:sz w:val="22"/>
                <w:szCs w:val="22"/>
                <w:lang w:val="en-GB"/>
              </w:rPr>
              <w:t>VTCS</w:t>
            </w:r>
            <w:r w:rsidRPr="009F0C77">
              <w:rPr>
                <w:sz w:val="22"/>
                <w:szCs w:val="22"/>
                <w:lang w:val="en-GB"/>
              </w:rPr>
              <w:t>)</w:t>
            </w:r>
          </w:p>
        </w:tc>
      </w:tr>
      <w:tr w:rsidR="009F0C77" w:rsidRPr="009F0C77" w:rsidTr="009F0C77">
        <w:trPr>
          <w:trHeight w:val="733"/>
        </w:trPr>
        <w:tc>
          <w:tcPr>
            <w:tcW w:w="3331" w:type="dxa"/>
            <w:tcBorders>
              <w:top w:val="single" w:sz="12" w:space="0" w:color="auto"/>
              <w:left w:val="double" w:sz="6" w:space="0" w:color="auto"/>
              <w:bottom w:val="double" w:sz="6" w:space="0" w:color="auto"/>
              <w:right w:val="double" w:sz="6" w:space="0" w:color="auto"/>
            </w:tcBorders>
            <w:shd w:val="pct10" w:color="auto" w:fill="auto"/>
            <w:vAlign w:val="center"/>
          </w:tcPr>
          <w:p w:rsidR="009F0C77" w:rsidRPr="009F0C77" w:rsidRDefault="009F0C77" w:rsidP="009F0C77">
            <w:pPr>
              <w:tabs>
                <w:tab w:val="left" w:pos="851"/>
                <w:tab w:val="left" w:pos="1191"/>
                <w:tab w:val="left" w:pos="1531"/>
              </w:tabs>
              <w:jc w:val="center"/>
              <w:rPr>
                <w:b/>
                <w:sz w:val="22"/>
                <w:szCs w:val="22"/>
                <w:highlight w:val="yellow"/>
                <w:lang w:val="en-GB"/>
              </w:rPr>
            </w:pPr>
            <w:r w:rsidRPr="009F0C77">
              <w:rPr>
                <w:b/>
                <w:sz w:val="22"/>
                <w:szCs w:val="22"/>
                <w:lang w:val="en-GB"/>
              </w:rPr>
              <w:t>Structural Formula(s)</w:t>
            </w:r>
          </w:p>
        </w:tc>
        <w:tc>
          <w:tcPr>
            <w:tcW w:w="6237" w:type="dxa"/>
            <w:tcBorders>
              <w:top w:val="single" w:sz="12" w:space="0" w:color="auto"/>
              <w:left w:val="double" w:sz="6" w:space="0" w:color="auto"/>
              <w:bottom w:val="double" w:sz="6" w:space="0" w:color="auto"/>
              <w:right w:val="double" w:sz="6" w:space="0" w:color="auto"/>
            </w:tcBorders>
            <w:vAlign w:val="center"/>
          </w:tcPr>
          <w:p w:rsidR="009F0C77" w:rsidRPr="009F0C77" w:rsidRDefault="009F0C77" w:rsidP="009F0C77">
            <w:pPr>
              <w:tabs>
                <w:tab w:val="left" w:pos="851"/>
                <w:tab w:val="left" w:pos="1191"/>
                <w:tab w:val="left" w:pos="1531"/>
              </w:tabs>
              <w:jc w:val="center"/>
              <w:rPr>
                <w:noProof/>
                <w:sz w:val="18"/>
                <w:szCs w:val="18"/>
              </w:rPr>
            </w:pPr>
          </w:p>
          <w:p w:rsidR="009F0C77" w:rsidRPr="009F0C77" w:rsidRDefault="009F0C77" w:rsidP="009F0C77">
            <w:pPr>
              <w:tabs>
                <w:tab w:val="left" w:pos="851"/>
                <w:tab w:val="left" w:pos="1191"/>
                <w:tab w:val="left" w:pos="1531"/>
              </w:tabs>
              <w:jc w:val="center"/>
              <w:rPr>
                <w:noProof/>
                <w:sz w:val="22"/>
                <w:szCs w:val="22"/>
              </w:rPr>
            </w:pPr>
            <w:r w:rsidRPr="009F0C77">
              <w:rPr>
                <w:noProof/>
                <w:sz w:val="18"/>
                <w:szCs w:val="18"/>
                <w:lang w:val="en-GB" w:eastAsia="en-GB"/>
              </w:rPr>
              <w:drawing>
                <wp:inline distT="0" distB="0" distL="0" distR="0" wp14:anchorId="5663B068" wp14:editId="49736683">
                  <wp:extent cx="1657350" cy="1269394"/>
                  <wp:effectExtent l="19050" t="0" r="0" b="0"/>
                  <wp:docPr id="6" name="Picture 2" descr="http://chem.sis.nlm.nih.gov/chemidplus/RenderImage?maxscale=30&amp;width=200&amp;height=200&amp;superlistid=0000124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chem.sis.nlm.nih.gov/chemidplus/RenderImage?maxscale=30&amp;width=200&amp;height=200&amp;superlistid=000012470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657350" cy="1269394"/>
                          </a:xfrm>
                          <a:prstGeom prst="rect">
                            <a:avLst/>
                          </a:prstGeom>
                          <a:noFill/>
                          <a:ln>
                            <a:noFill/>
                          </a:ln>
                        </pic:spPr>
                      </pic:pic>
                    </a:graphicData>
                  </a:graphic>
                </wp:inline>
              </w:drawing>
            </w:r>
          </w:p>
          <w:p w:rsidR="009F0C77" w:rsidRPr="009F0C77" w:rsidRDefault="009F0C77" w:rsidP="009F0C77">
            <w:pPr>
              <w:tabs>
                <w:tab w:val="left" w:pos="851"/>
                <w:tab w:val="left" w:pos="1191"/>
                <w:tab w:val="left" w:pos="1531"/>
              </w:tabs>
              <w:jc w:val="center"/>
              <w:rPr>
                <w:b/>
                <w:noProof/>
                <w:sz w:val="22"/>
                <w:szCs w:val="22"/>
              </w:rPr>
            </w:pPr>
            <w:r w:rsidRPr="009F0C77">
              <w:rPr>
                <w:b/>
                <w:noProof/>
                <w:sz w:val="22"/>
                <w:szCs w:val="22"/>
              </w:rPr>
              <w:t>VDCS</w:t>
            </w:r>
          </w:p>
          <w:p w:rsidR="009F0C77" w:rsidRPr="009F0C77" w:rsidRDefault="009F0C77" w:rsidP="009F0C77">
            <w:pPr>
              <w:tabs>
                <w:tab w:val="left" w:pos="851"/>
                <w:tab w:val="left" w:pos="1191"/>
                <w:tab w:val="left" w:pos="1531"/>
              </w:tabs>
              <w:jc w:val="center"/>
              <w:rPr>
                <w:noProof/>
                <w:sz w:val="18"/>
                <w:szCs w:val="18"/>
              </w:rPr>
            </w:pPr>
          </w:p>
          <w:p w:rsidR="009F0C77" w:rsidRPr="009F0C77" w:rsidRDefault="009F0C77" w:rsidP="009F0C77">
            <w:pPr>
              <w:tabs>
                <w:tab w:val="left" w:pos="851"/>
                <w:tab w:val="left" w:pos="1191"/>
                <w:tab w:val="left" w:pos="1531"/>
              </w:tabs>
              <w:jc w:val="center"/>
              <w:rPr>
                <w:noProof/>
                <w:sz w:val="22"/>
                <w:szCs w:val="22"/>
              </w:rPr>
            </w:pPr>
            <w:r w:rsidRPr="009F0C77">
              <w:rPr>
                <w:noProof/>
                <w:sz w:val="18"/>
                <w:szCs w:val="18"/>
                <w:lang w:val="en-GB" w:eastAsia="en-GB"/>
              </w:rPr>
              <w:drawing>
                <wp:inline distT="0" distB="0" distL="0" distR="0" wp14:anchorId="6B309C89" wp14:editId="42F211A8">
                  <wp:extent cx="1905000" cy="1584960"/>
                  <wp:effectExtent l="19050" t="0" r="0" b="0"/>
                  <wp:docPr id="8" name="Picture 7" descr="http://chem.sis.nlm.nih.gov/chemidplus/RenderImage?maxscale=30&amp;width=200&amp;height=200&amp;superlistid=0000075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chem.sis.nlm.nih.gov/chemidplus/RenderImage?maxscale=30&amp;width=200&amp;height=200&amp;superlistid=000007594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05000" cy="1584960"/>
                          </a:xfrm>
                          <a:prstGeom prst="rect">
                            <a:avLst/>
                          </a:prstGeom>
                          <a:noFill/>
                          <a:ln>
                            <a:noFill/>
                          </a:ln>
                        </pic:spPr>
                      </pic:pic>
                    </a:graphicData>
                  </a:graphic>
                </wp:inline>
              </w:drawing>
            </w:r>
          </w:p>
          <w:p w:rsidR="009F0C77" w:rsidRPr="009F0C77" w:rsidRDefault="009F0C77" w:rsidP="009F0C77">
            <w:pPr>
              <w:tabs>
                <w:tab w:val="left" w:pos="851"/>
                <w:tab w:val="left" w:pos="1191"/>
                <w:tab w:val="left" w:pos="1531"/>
              </w:tabs>
              <w:jc w:val="center"/>
              <w:rPr>
                <w:b/>
                <w:noProof/>
                <w:sz w:val="22"/>
                <w:szCs w:val="22"/>
              </w:rPr>
            </w:pPr>
            <w:r w:rsidRPr="009F0C77">
              <w:rPr>
                <w:b/>
                <w:noProof/>
                <w:sz w:val="22"/>
                <w:szCs w:val="22"/>
              </w:rPr>
              <w:t>VTCS</w:t>
            </w:r>
          </w:p>
          <w:p w:rsidR="009F0C77" w:rsidRPr="009F0C77" w:rsidRDefault="009F0C77" w:rsidP="009F0C77">
            <w:pPr>
              <w:tabs>
                <w:tab w:val="left" w:pos="851"/>
                <w:tab w:val="left" w:pos="1191"/>
                <w:tab w:val="left" w:pos="1531"/>
              </w:tabs>
              <w:jc w:val="center"/>
              <w:rPr>
                <w:b/>
                <w:sz w:val="22"/>
                <w:szCs w:val="22"/>
                <w:lang w:val="en-GB"/>
              </w:rPr>
            </w:pPr>
          </w:p>
        </w:tc>
      </w:tr>
      <w:tr w:rsidR="009F0C77" w:rsidRPr="009F0C77" w:rsidTr="009F0C77">
        <w:tc>
          <w:tcPr>
            <w:tcW w:w="9568" w:type="dxa"/>
            <w:gridSpan w:val="2"/>
            <w:tcBorders>
              <w:top w:val="double" w:sz="6" w:space="0" w:color="auto"/>
              <w:left w:val="double" w:sz="6" w:space="0" w:color="auto"/>
              <w:bottom w:val="double" w:sz="6" w:space="0" w:color="auto"/>
              <w:right w:val="double" w:sz="6" w:space="0" w:color="auto"/>
            </w:tcBorders>
          </w:tcPr>
          <w:p w:rsidR="009F0C77" w:rsidRPr="009F0C77" w:rsidRDefault="009F0C77" w:rsidP="009F0C77">
            <w:pPr>
              <w:tabs>
                <w:tab w:val="left" w:pos="851"/>
                <w:tab w:val="left" w:pos="1191"/>
                <w:tab w:val="left" w:pos="1531"/>
              </w:tabs>
              <w:spacing w:after="240"/>
              <w:jc w:val="center"/>
              <w:rPr>
                <w:b/>
                <w:sz w:val="22"/>
                <w:szCs w:val="22"/>
                <w:lang w:val="en-GB"/>
              </w:rPr>
            </w:pPr>
            <w:r w:rsidRPr="009F0C77">
              <w:rPr>
                <w:b/>
                <w:sz w:val="22"/>
                <w:szCs w:val="22"/>
                <w:lang w:val="en-GB"/>
              </w:rPr>
              <w:t>SUMMARY CONCLUSIONS OF THE SIAR</w:t>
            </w:r>
          </w:p>
          <w:p w:rsidR="009F0C77" w:rsidRPr="009F0C77" w:rsidRDefault="009F0C77" w:rsidP="009F0C77">
            <w:pPr>
              <w:tabs>
                <w:tab w:val="left" w:pos="851"/>
                <w:tab w:val="left" w:pos="5320"/>
              </w:tabs>
              <w:spacing w:after="240"/>
              <w:ind w:left="142"/>
              <w:rPr>
                <w:b/>
                <w:sz w:val="20"/>
                <w:szCs w:val="20"/>
                <w:lang w:val="en-GB"/>
              </w:rPr>
            </w:pPr>
            <w:r>
              <w:rPr>
                <w:b/>
                <w:sz w:val="20"/>
                <w:szCs w:val="20"/>
                <w:lang w:val="en-GB"/>
              </w:rPr>
              <w:t xml:space="preserve">  </w:t>
            </w:r>
            <w:r w:rsidRPr="009F0C77">
              <w:rPr>
                <w:b/>
                <w:sz w:val="20"/>
                <w:szCs w:val="20"/>
                <w:lang w:val="en-GB"/>
              </w:rPr>
              <w:t>Analogue/Category Rationale</w:t>
            </w:r>
          </w:p>
          <w:p w:rsidR="009F0C77" w:rsidRPr="009F0C77" w:rsidRDefault="009F0C77" w:rsidP="009F0C77">
            <w:pPr>
              <w:tabs>
                <w:tab w:val="left" w:pos="851"/>
                <w:tab w:val="left" w:pos="1191"/>
                <w:tab w:val="left" w:pos="1531"/>
              </w:tabs>
              <w:spacing w:after="180" w:line="276" w:lineRule="auto"/>
              <w:ind w:left="214" w:right="158"/>
              <w:jc w:val="both"/>
              <w:rPr>
                <w:sz w:val="20"/>
                <w:szCs w:val="20"/>
                <w:lang w:val="en-GB"/>
              </w:rPr>
            </w:pPr>
            <w:r w:rsidRPr="009F0C77">
              <w:rPr>
                <w:sz w:val="20"/>
                <w:szCs w:val="20"/>
                <w:lang w:val="en-GB"/>
              </w:rPr>
              <w:t>Chlorosilanes react rapidly when exposed to moisture or polar reagents, producing hydrogen chloride (HCl; CAS No. 7647-01-0) and the corresponding silanols (in general, siloxane oligomers and polymers). For the two vinyl chlorosilanes in the category, the half-lives are expected to be &lt;1 minute based on data from two analogous substances, dimethyldichlorosilane (DMDCS; CAS No. 75-78-5) and methyltrichlorosilane (MTCS; CAS No. 75-79-6)</w:t>
            </w:r>
            <w:r w:rsidRPr="009F0C77">
              <w:rPr>
                <w:snapToGrid w:val="0"/>
                <w:sz w:val="20"/>
                <w:szCs w:val="20"/>
                <w:lang w:val="en-GB"/>
              </w:rPr>
              <w:t>.</w:t>
            </w:r>
          </w:p>
          <w:p w:rsidR="009F0C77" w:rsidRPr="009F0C77" w:rsidRDefault="009F0C77" w:rsidP="009F0C77">
            <w:pPr>
              <w:tabs>
                <w:tab w:val="left" w:pos="851"/>
                <w:tab w:val="left" w:pos="1191"/>
                <w:tab w:val="left" w:pos="1531"/>
              </w:tabs>
              <w:spacing w:after="180"/>
              <w:ind w:left="180" w:right="248"/>
              <w:jc w:val="both"/>
              <w:rPr>
                <w:sz w:val="20"/>
                <w:szCs w:val="20"/>
                <w:lang w:val="en-GB"/>
              </w:rPr>
            </w:pPr>
            <w:r w:rsidRPr="009F0C77">
              <w:rPr>
                <w:sz w:val="20"/>
                <w:szCs w:val="20"/>
                <w:lang w:val="en-GB"/>
              </w:rPr>
              <w:t xml:space="preserve">The silanols expected to be produced following vinyl chlorosilane hydrolysis are vinylmethylsilanediol, CAS No 3959-12-4 (from </w:t>
            </w:r>
            <w:r w:rsidRPr="009F0C77">
              <w:rPr>
                <w:b/>
                <w:sz w:val="20"/>
                <w:szCs w:val="20"/>
                <w:lang w:val="en-GB"/>
              </w:rPr>
              <w:t>VDCS</w:t>
            </w:r>
            <w:r w:rsidRPr="009F0C77">
              <w:rPr>
                <w:sz w:val="20"/>
                <w:szCs w:val="20"/>
                <w:lang w:val="en-GB"/>
              </w:rPr>
              <w:t xml:space="preserve">) and vinylsilanetriol, CAS No 143-48-6 (from </w:t>
            </w:r>
            <w:r w:rsidRPr="009F0C77">
              <w:rPr>
                <w:b/>
                <w:sz w:val="20"/>
                <w:szCs w:val="20"/>
                <w:lang w:val="en-GB"/>
              </w:rPr>
              <w:t>VTCS</w:t>
            </w:r>
            <w:r w:rsidRPr="009F0C77">
              <w:rPr>
                <w:sz w:val="20"/>
                <w:szCs w:val="20"/>
                <w:lang w:val="en-GB"/>
              </w:rPr>
              <w:t xml:space="preserve">). The silanols can condense spontaneously to form highly cross-linked polymeric gels in uncontrolled environments. Because of these properties, they cannot be readily isolated without spontaneously forming highly cross-linked polymeric gels in uncontrolled environments and as such cannot be tested. </w:t>
            </w:r>
          </w:p>
          <w:p w:rsidR="009F0C77" w:rsidRPr="009F0C77" w:rsidRDefault="009F0C77" w:rsidP="009F0C77">
            <w:pPr>
              <w:spacing w:after="180"/>
              <w:ind w:left="180" w:right="248"/>
              <w:jc w:val="both"/>
              <w:rPr>
                <w:sz w:val="20"/>
                <w:szCs w:val="20"/>
              </w:rPr>
            </w:pPr>
            <w:r w:rsidRPr="009F0C77">
              <w:rPr>
                <w:b/>
                <w:sz w:val="20"/>
                <w:szCs w:val="20"/>
              </w:rPr>
              <w:t>VDCS</w:t>
            </w:r>
            <w:r w:rsidRPr="009F0C77">
              <w:rPr>
                <w:sz w:val="20"/>
                <w:szCs w:val="20"/>
              </w:rPr>
              <w:t xml:space="preserve"> hydrolyzes to form two moles of HCl and one mole of vinylmethylsilanediol, whereas </w:t>
            </w:r>
            <w:r w:rsidRPr="009F0C77">
              <w:rPr>
                <w:b/>
                <w:sz w:val="20"/>
                <w:szCs w:val="20"/>
              </w:rPr>
              <w:t>VTCS</w:t>
            </w:r>
            <w:r w:rsidRPr="009F0C77">
              <w:rPr>
                <w:sz w:val="20"/>
                <w:szCs w:val="20"/>
              </w:rPr>
              <w:t xml:space="preserve"> forms three moles of HCl and one mole of vinylsilanetriol. The category is supported by (1) similar structures of category members, (2) the common hydrolysis product HCl and (3) similarities in physical-chemical properties of the silanol products (high water solubility and low log K</w:t>
            </w:r>
            <w:r w:rsidRPr="009F0C77">
              <w:rPr>
                <w:sz w:val="20"/>
                <w:szCs w:val="20"/>
                <w:vertAlign w:val="subscript"/>
              </w:rPr>
              <w:t>ow</w:t>
            </w:r>
            <w:r w:rsidRPr="009F0C77">
              <w:rPr>
                <w:sz w:val="20"/>
                <w:szCs w:val="20"/>
              </w:rPr>
              <w:t xml:space="preserve">). </w:t>
            </w:r>
          </w:p>
          <w:p w:rsidR="009F0C77" w:rsidRPr="009F0C77" w:rsidRDefault="009F0C77" w:rsidP="009F0C77">
            <w:pPr>
              <w:tabs>
                <w:tab w:val="left" w:pos="851"/>
                <w:tab w:val="left" w:pos="1191"/>
                <w:tab w:val="left" w:pos="1531"/>
              </w:tabs>
              <w:spacing w:after="180"/>
              <w:ind w:left="180" w:right="248"/>
              <w:jc w:val="both"/>
              <w:rPr>
                <w:sz w:val="20"/>
                <w:szCs w:val="20"/>
                <w:lang w:val="en-GB"/>
              </w:rPr>
            </w:pPr>
            <w:r w:rsidRPr="009F0C77">
              <w:rPr>
                <w:i/>
                <w:sz w:val="20"/>
                <w:szCs w:val="20"/>
                <w:lang w:val="en-GB"/>
              </w:rPr>
              <w:t xml:space="preserve">Hydrolysis Analogues. </w:t>
            </w:r>
            <w:r w:rsidRPr="009F0C77">
              <w:rPr>
                <w:sz w:val="20"/>
                <w:szCs w:val="20"/>
                <w:lang w:val="en-GB"/>
              </w:rPr>
              <w:t>It is appropriate to use other chlorosilane data to estimate hydrolysis of the sponsored substances. As noted above, analogues used for hydrolysis are DMDCS and MTCS</w:t>
            </w:r>
            <w:r w:rsidRPr="009F0C77">
              <w:rPr>
                <w:snapToGrid w:val="0"/>
                <w:sz w:val="20"/>
                <w:szCs w:val="20"/>
                <w:lang w:val="en-GB"/>
              </w:rPr>
              <w:t xml:space="preserve">.  </w:t>
            </w:r>
          </w:p>
          <w:p w:rsidR="009F0C77" w:rsidRPr="009F0C77" w:rsidRDefault="009F0C77" w:rsidP="009F0C77">
            <w:pPr>
              <w:spacing w:after="180"/>
              <w:ind w:left="142" w:right="285"/>
              <w:jc w:val="both"/>
              <w:rPr>
                <w:sz w:val="20"/>
                <w:szCs w:val="20"/>
              </w:rPr>
            </w:pPr>
            <w:r w:rsidRPr="009F0C77">
              <w:rPr>
                <w:i/>
                <w:sz w:val="20"/>
                <w:szCs w:val="20"/>
              </w:rPr>
              <w:t xml:space="preserve">Human Health and Aquatic Toxicity Analogues. </w:t>
            </w:r>
            <w:r w:rsidRPr="009F0C77">
              <w:rPr>
                <w:sz w:val="20"/>
                <w:szCs w:val="20"/>
              </w:rPr>
              <w:t>Trimethoxyvinylsilane (VTMS; CAS No. 2768-02-7) hydrolyzes at pH 4, 7 and 9 with t</w:t>
            </w:r>
            <w:r w:rsidRPr="009F0C77">
              <w:rPr>
                <w:sz w:val="20"/>
                <w:szCs w:val="20"/>
                <w:vertAlign w:val="subscript"/>
              </w:rPr>
              <w:t xml:space="preserve">1/2 </w:t>
            </w:r>
            <w:r w:rsidRPr="009F0C77">
              <w:rPr>
                <w:sz w:val="20"/>
                <w:szCs w:val="20"/>
                <w:u w:val="single"/>
              </w:rPr>
              <w:t>&lt;</w:t>
            </w:r>
            <w:r w:rsidRPr="009F0C77">
              <w:rPr>
                <w:sz w:val="20"/>
                <w:szCs w:val="20"/>
              </w:rPr>
              <w:t>10 minutes, &lt; 2.4 hours and &lt;10 minutes, respectively. The final products of hydrolysis are expected to be methanol and vinylsilanetriol; toxicity due to hydrolysis to methanol is expected to be negligible.</w:t>
            </w:r>
          </w:p>
          <w:p w:rsidR="009F0C77" w:rsidRPr="009F0C77" w:rsidRDefault="009F0C77" w:rsidP="009F0C77">
            <w:pPr>
              <w:spacing w:after="180"/>
              <w:ind w:left="142" w:right="248"/>
              <w:jc w:val="both"/>
              <w:rPr>
                <w:sz w:val="20"/>
                <w:szCs w:val="20"/>
              </w:rPr>
            </w:pPr>
            <w:r w:rsidRPr="009F0C77">
              <w:rPr>
                <w:sz w:val="20"/>
                <w:szCs w:val="20"/>
              </w:rPr>
              <w:t>In aqueous environments, exposures to VTMS are likely to be transient and observed toxicity is likely due primarily to the hydrolysis products methanol, vinylsilanetriol, and condensed silanetriol materials (high molecular weight polymers). Because one of the sponsored substances (</w:t>
            </w:r>
            <w:r w:rsidRPr="009F0C77">
              <w:rPr>
                <w:b/>
                <w:sz w:val="20"/>
                <w:szCs w:val="20"/>
              </w:rPr>
              <w:t>VTCS</w:t>
            </w:r>
            <w:r w:rsidRPr="009F0C77">
              <w:rPr>
                <w:sz w:val="20"/>
                <w:szCs w:val="20"/>
              </w:rPr>
              <w:t xml:space="preserve">) has the same expected product (vinylsilanetriol) as VTMS and due to similarities between this product and vinylmethylsilanediol, the analogue VTMS can be used as a supporting substance for the vinyl chlorosilanes. Due to rapid hydrolysis of the vinyl chlorosilanes and expected corrosive effects of one of the products (HCl), the data for HCl are also presented for a complete consideration of the toxicity of hydrolysis products for both human health and aquatic toxicity endpoints. No test data are available for short-term toxicity of </w:t>
            </w:r>
            <w:r w:rsidRPr="009F0C77">
              <w:rPr>
                <w:b/>
                <w:sz w:val="20"/>
                <w:szCs w:val="20"/>
              </w:rPr>
              <w:t>VDCS</w:t>
            </w:r>
            <w:r w:rsidRPr="009F0C77">
              <w:rPr>
                <w:sz w:val="20"/>
                <w:szCs w:val="20"/>
              </w:rPr>
              <w:t xml:space="preserve"> to aquatic organisms. Reliable data are available for the read-across substance, dimethylsilanediol (DMSD, CAS 1066-42-8). DMSD is a close structural analogue of vinylmethylsilanediol. Read-across from DMSD to vinylmethylsilanediol is appropriate because both are small molecule alkylsilanols whose properties are dominated by presence of the silanediol group.</w:t>
            </w:r>
          </w:p>
          <w:p w:rsidR="009F0C77" w:rsidRPr="009F0C77" w:rsidRDefault="009F0C77" w:rsidP="009F0C77">
            <w:pPr>
              <w:spacing w:after="180"/>
              <w:ind w:left="180" w:right="248"/>
              <w:jc w:val="both"/>
              <w:rPr>
                <w:sz w:val="20"/>
                <w:szCs w:val="20"/>
              </w:rPr>
            </w:pPr>
            <w:r w:rsidRPr="009F0C77">
              <w:rPr>
                <w:sz w:val="20"/>
                <w:szCs w:val="20"/>
              </w:rPr>
              <w:t xml:space="preserve">HCl, VTMS, DMDCS, and MTCS have been previously presented and agreed in the OECD programme; DMSD has been previously used as an analogue, most recently for chloroalkylchlorosilanes at CoCAM 3. These data can be found at </w:t>
            </w:r>
            <w:hyperlink r:id="rId24" w:history="1">
              <w:r w:rsidRPr="009F0C77">
                <w:rPr>
                  <w:color w:val="0000FF"/>
                  <w:sz w:val="20"/>
                  <w:szCs w:val="20"/>
                  <w:u w:val="single"/>
                </w:rPr>
                <w:t>http://www.oecd.org/env/hazard/data</w:t>
              </w:r>
            </w:hyperlink>
            <w:r w:rsidRPr="009F0C77">
              <w:rPr>
                <w:sz w:val="20"/>
                <w:szCs w:val="20"/>
              </w:rPr>
              <w:t>.</w:t>
            </w:r>
          </w:p>
          <w:p w:rsidR="009F0C77" w:rsidRPr="009F0C77" w:rsidRDefault="009F0C77" w:rsidP="009F0C77">
            <w:pPr>
              <w:tabs>
                <w:tab w:val="left" w:pos="851"/>
                <w:tab w:val="left" w:pos="1191"/>
                <w:tab w:val="left" w:pos="1531"/>
              </w:tabs>
              <w:spacing w:after="180"/>
              <w:jc w:val="center"/>
              <w:rPr>
                <w:b/>
                <w:bCs/>
                <w:sz w:val="20"/>
                <w:szCs w:val="20"/>
                <w:lang w:val="en-GB"/>
              </w:rPr>
            </w:pPr>
            <w:r w:rsidRPr="009F0C77">
              <w:rPr>
                <w:b/>
                <w:bCs/>
                <w:sz w:val="20"/>
                <w:szCs w:val="20"/>
                <w:lang w:val="en-GB"/>
              </w:rPr>
              <w:t>Read Across Strategy</w:t>
            </w:r>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102"/>
              <w:gridCol w:w="1237"/>
              <w:gridCol w:w="1276"/>
              <w:gridCol w:w="1114"/>
              <w:gridCol w:w="1391"/>
              <w:gridCol w:w="1392"/>
              <w:gridCol w:w="1525"/>
            </w:tblGrid>
            <w:tr w:rsidR="009F0C77" w:rsidRPr="009F0C77" w:rsidTr="009F0C77">
              <w:trPr>
                <w:trHeight w:val="354"/>
              </w:trPr>
              <w:tc>
                <w:tcPr>
                  <w:tcW w:w="1102" w:type="dxa"/>
                  <w:tcBorders>
                    <w:top w:val="single" w:sz="12" w:space="0" w:color="auto"/>
                    <w:bottom w:val="single" w:sz="6" w:space="0" w:color="auto"/>
                  </w:tcBorders>
                  <w:shd w:val="clear" w:color="auto" w:fill="auto"/>
                </w:tcPr>
                <w:p w:rsidR="009F0C77" w:rsidRPr="009F0C77" w:rsidRDefault="009F0C77" w:rsidP="009F0C77">
                  <w:pPr>
                    <w:tabs>
                      <w:tab w:val="left" w:pos="851"/>
                      <w:tab w:val="left" w:pos="1191"/>
                      <w:tab w:val="left" w:pos="1531"/>
                    </w:tabs>
                    <w:spacing w:after="180"/>
                    <w:jc w:val="both"/>
                    <w:rPr>
                      <w:b/>
                      <w:snapToGrid w:val="0"/>
                      <w:sz w:val="20"/>
                      <w:szCs w:val="20"/>
                      <w:highlight w:val="yellow"/>
                      <w:lang w:val="en-GB"/>
                    </w:rPr>
                  </w:pPr>
                </w:p>
              </w:tc>
              <w:tc>
                <w:tcPr>
                  <w:tcW w:w="2513" w:type="dxa"/>
                  <w:gridSpan w:val="2"/>
                  <w:tcBorders>
                    <w:top w:val="single" w:sz="12" w:space="0" w:color="auto"/>
                    <w:bottom w:val="single" w:sz="6" w:space="0" w:color="auto"/>
                  </w:tcBorders>
                  <w:shd w:val="clear" w:color="auto" w:fill="auto"/>
                </w:tcPr>
                <w:p w:rsidR="009F0C77" w:rsidRPr="009F0C77" w:rsidRDefault="009F0C77" w:rsidP="009F0C77">
                  <w:pPr>
                    <w:tabs>
                      <w:tab w:val="left" w:pos="851"/>
                      <w:tab w:val="left" w:pos="1191"/>
                      <w:tab w:val="left" w:pos="1531"/>
                    </w:tabs>
                    <w:spacing w:after="180"/>
                    <w:jc w:val="center"/>
                    <w:rPr>
                      <w:b/>
                      <w:snapToGrid w:val="0"/>
                      <w:sz w:val="20"/>
                      <w:szCs w:val="20"/>
                      <w:lang w:val="en-GB"/>
                    </w:rPr>
                  </w:pPr>
                  <w:r w:rsidRPr="009F0C77">
                    <w:rPr>
                      <w:b/>
                      <w:snapToGrid w:val="0"/>
                      <w:sz w:val="20"/>
                      <w:szCs w:val="20"/>
                      <w:lang w:val="en-GB"/>
                    </w:rPr>
                    <w:t>Environmental fate</w:t>
                  </w:r>
                </w:p>
              </w:tc>
              <w:tc>
                <w:tcPr>
                  <w:tcW w:w="3897" w:type="dxa"/>
                  <w:gridSpan w:val="3"/>
                  <w:tcBorders>
                    <w:top w:val="single" w:sz="12" w:space="0" w:color="auto"/>
                    <w:bottom w:val="single" w:sz="6" w:space="0" w:color="auto"/>
                  </w:tcBorders>
                  <w:shd w:val="clear" w:color="auto" w:fill="auto"/>
                </w:tcPr>
                <w:p w:rsidR="009F0C77" w:rsidRPr="009F0C77" w:rsidRDefault="009F0C77" w:rsidP="009F0C77">
                  <w:pPr>
                    <w:tabs>
                      <w:tab w:val="left" w:pos="851"/>
                      <w:tab w:val="left" w:pos="1191"/>
                      <w:tab w:val="left" w:pos="1531"/>
                    </w:tabs>
                    <w:spacing w:after="180"/>
                    <w:jc w:val="center"/>
                    <w:rPr>
                      <w:b/>
                      <w:snapToGrid w:val="0"/>
                      <w:sz w:val="20"/>
                      <w:szCs w:val="20"/>
                      <w:lang w:val="en-GB"/>
                    </w:rPr>
                  </w:pPr>
                  <w:r w:rsidRPr="009F0C77">
                    <w:rPr>
                      <w:b/>
                      <w:snapToGrid w:val="0"/>
                      <w:sz w:val="20"/>
                      <w:szCs w:val="20"/>
                      <w:lang w:val="en-GB"/>
                    </w:rPr>
                    <w:t>Mammalian toxicity</w:t>
                  </w:r>
                </w:p>
              </w:tc>
              <w:tc>
                <w:tcPr>
                  <w:tcW w:w="1525" w:type="dxa"/>
                  <w:tcBorders>
                    <w:top w:val="single" w:sz="12" w:space="0" w:color="auto"/>
                    <w:bottom w:val="single" w:sz="6" w:space="0" w:color="auto"/>
                  </w:tcBorders>
                </w:tcPr>
                <w:p w:rsidR="009F0C77" w:rsidRPr="009F0C77" w:rsidRDefault="009F0C77" w:rsidP="009F0C77">
                  <w:pPr>
                    <w:tabs>
                      <w:tab w:val="left" w:pos="851"/>
                      <w:tab w:val="left" w:pos="1191"/>
                      <w:tab w:val="left" w:pos="1531"/>
                    </w:tabs>
                    <w:spacing w:after="180"/>
                    <w:jc w:val="center"/>
                    <w:rPr>
                      <w:b/>
                      <w:snapToGrid w:val="0"/>
                      <w:sz w:val="20"/>
                      <w:szCs w:val="20"/>
                      <w:lang w:val="en-GB"/>
                    </w:rPr>
                  </w:pPr>
                  <w:r w:rsidRPr="009F0C77">
                    <w:rPr>
                      <w:b/>
                      <w:snapToGrid w:val="0"/>
                      <w:sz w:val="20"/>
                      <w:szCs w:val="20"/>
                      <w:lang w:val="en-GB"/>
                    </w:rPr>
                    <w:t>Environmental effects</w:t>
                  </w:r>
                </w:p>
              </w:tc>
            </w:tr>
            <w:tr w:rsidR="009F0C77" w:rsidRPr="009F0C77" w:rsidTr="009F0C77">
              <w:trPr>
                <w:trHeight w:val="354"/>
              </w:trPr>
              <w:tc>
                <w:tcPr>
                  <w:tcW w:w="1102" w:type="dxa"/>
                  <w:tcBorders>
                    <w:top w:val="single" w:sz="6" w:space="0" w:color="auto"/>
                    <w:bottom w:val="single" w:sz="12" w:space="0" w:color="auto"/>
                  </w:tcBorders>
                  <w:shd w:val="clear" w:color="auto" w:fill="auto"/>
                </w:tcPr>
                <w:p w:rsidR="009F0C77" w:rsidRPr="009F0C77" w:rsidRDefault="009F0C77" w:rsidP="009F0C77">
                  <w:pPr>
                    <w:tabs>
                      <w:tab w:val="left" w:pos="851"/>
                      <w:tab w:val="left" w:pos="1191"/>
                      <w:tab w:val="left" w:pos="1531"/>
                    </w:tabs>
                    <w:spacing w:after="180"/>
                    <w:jc w:val="both"/>
                    <w:rPr>
                      <w:b/>
                      <w:snapToGrid w:val="0"/>
                      <w:sz w:val="20"/>
                      <w:szCs w:val="20"/>
                      <w:lang w:val="en-GB"/>
                    </w:rPr>
                  </w:pPr>
                  <w:r w:rsidRPr="009F0C77">
                    <w:rPr>
                      <w:b/>
                      <w:snapToGrid w:val="0"/>
                      <w:sz w:val="20"/>
                      <w:szCs w:val="20"/>
                      <w:lang w:val="en-GB"/>
                    </w:rPr>
                    <w:t>Substance</w:t>
                  </w:r>
                </w:p>
              </w:tc>
              <w:tc>
                <w:tcPr>
                  <w:tcW w:w="1237" w:type="dxa"/>
                  <w:tcBorders>
                    <w:top w:val="single" w:sz="6" w:space="0" w:color="auto"/>
                    <w:bottom w:val="single" w:sz="12" w:space="0" w:color="auto"/>
                  </w:tcBorders>
                  <w:shd w:val="clear" w:color="auto" w:fill="auto"/>
                </w:tcPr>
                <w:p w:rsidR="009F0C77" w:rsidRPr="009F0C77" w:rsidRDefault="009F0C77" w:rsidP="009F0C77">
                  <w:pPr>
                    <w:tabs>
                      <w:tab w:val="left" w:pos="851"/>
                      <w:tab w:val="left" w:pos="1191"/>
                      <w:tab w:val="left" w:pos="1531"/>
                    </w:tabs>
                    <w:spacing w:after="180"/>
                    <w:jc w:val="center"/>
                    <w:rPr>
                      <w:b/>
                      <w:snapToGrid w:val="0"/>
                      <w:sz w:val="20"/>
                      <w:szCs w:val="20"/>
                      <w:lang w:val="en-GB"/>
                    </w:rPr>
                  </w:pPr>
                  <w:r w:rsidRPr="009F0C77">
                    <w:rPr>
                      <w:b/>
                      <w:snapToGrid w:val="0"/>
                      <w:sz w:val="20"/>
                      <w:szCs w:val="20"/>
                      <w:lang w:val="en-GB"/>
                    </w:rPr>
                    <w:t>Hydrolysis</w:t>
                  </w:r>
                </w:p>
              </w:tc>
              <w:tc>
                <w:tcPr>
                  <w:tcW w:w="1276" w:type="dxa"/>
                  <w:tcBorders>
                    <w:top w:val="single" w:sz="6" w:space="0" w:color="auto"/>
                    <w:bottom w:val="single" w:sz="12" w:space="0" w:color="auto"/>
                  </w:tcBorders>
                </w:tcPr>
                <w:p w:rsidR="009F0C77" w:rsidRPr="009F0C77" w:rsidRDefault="009F0C77" w:rsidP="009F0C77">
                  <w:pPr>
                    <w:tabs>
                      <w:tab w:val="left" w:pos="851"/>
                      <w:tab w:val="left" w:pos="1191"/>
                      <w:tab w:val="left" w:pos="1531"/>
                    </w:tabs>
                    <w:spacing w:after="180"/>
                    <w:jc w:val="center"/>
                    <w:rPr>
                      <w:b/>
                      <w:snapToGrid w:val="0"/>
                      <w:sz w:val="20"/>
                      <w:szCs w:val="20"/>
                      <w:lang w:val="en-GB"/>
                    </w:rPr>
                  </w:pPr>
                  <w:r w:rsidRPr="009F0C77">
                    <w:rPr>
                      <w:b/>
                      <w:snapToGrid w:val="0"/>
                      <w:sz w:val="20"/>
                      <w:szCs w:val="20"/>
                      <w:lang w:val="en-GB"/>
                    </w:rPr>
                    <w:t>Biodegradation</w:t>
                  </w:r>
                </w:p>
              </w:tc>
              <w:tc>
                <w:tcPr>
                  <w:tcW w:w="1114" w:type="dxa"/>
                  <w:tcBorders>
                    <w:top w:val="single" w:sz="6" w:space="0" w:color="auto"/>
                    <w:bottom w:val="single" w:sz="12" w:space="0" w:color="auto"/>
                  </w:tcBorders>
                  <w:shd w:val="clear" w:color="auto" w:fill="auto"/>
                </w:tcPr>
                <w:p w:rsidR="009F0C77" w:rsidRPr="009F0C77" w:rsidRDefault="009F0C77" w:rsidP="009F0C77">
                  <w:pPr>
                    <w:tabs>
                      <w:tab w:val="left" w:pos="851"/>
                      <w:tab w:val="left" w:pos="1191"/>
                      <w:tab w:val="left" w:pos="1531"/>
                    </w:tabs>
                    <w:spacing w:after="180"/>
                    <w:jc w:val="center"/>
                    <w:rPr>
                      <w:b/>
                      <w:snapToGrid w:val="0"/>
                      <w:sz w:val="20"/>
                      <w:szCs w:val="20"/>
                      <w:lang w:val="fr-FR"/>
                    </w:rPr>
                  </w:pPr>
                  <w:r w:rsidRPr="009F0C77">
                    <w:rPr>
                      <w:b/>
                      <w:snapToGrid w:val="0"/>
                      <w:sz w:val="20"/>
                      <w:szCs w:val="20"/>
                      <w:lang w:val="fr-FR"/>
                    </w:rPr>
                    <w:t>Skin, Eye, Resp. tract (RT) irritation</w:t>
                  </w:r>
                </w:p>
              </w:tc>
              <w:tc>
                <w:tcPr>
                  <w:tcW w:w="1391" w:type="dxa"/>
                  <w:tcBorders>
                    <w:top w:val="single" w:sz="6" w:space="0" w:color="auto"/>
                    <w:bottom w:val="single" w:sz="12" w:space="0" w:color="auto"/>
                  </w:tcBorders>
                  <w:shd w:val="clear" w:color="auto" w:fill="auto"/>
                </w:tcPr>
                <w:p w:rsidR="009F0C77" w:rsidRPr="009F0C77" w:rsidRDefault="009F0C77" w:rsidP="009F0C77">
                  <w:pPr>
                    <w:tabs>
                      <w:tab w:val="left" w:pos="851"/>
                      <w:tab w:val="left" w:pos="1191"/>
                      <w:tab w:val="left" w:pos="1531"/>
                    </w:tabs>
                    <w:spacing w:after="180"/>
                    <w:jc w:val="center"/>
                    <w:rPr>
                      <w:b/>
                      <w:snapToGrid w:val="0"/>
                      <w:sz w:val="20"/>
                      <w:szCs w:val="20"/>
                      <w:lang w:val="en-GB"/>
                    </w:rPr>
                  </w:pPr>
                  <w:r w:rsidRPr="009F0C77">
                    <w:rPr>
                      <w:b/>
                      <w:snapToGrid w:val="0"/>
                      <w:sz w:val="20"/>
                      <w:szCs w:val="20"/>
                      <w:lang w:val="en-GB"/>
                    </w:rPr>
                    <w:t>Repeated dose toxicity, Reproductive toxicity</w:t>
                  </w:r>
                </w:p>
              </w:tc>
              <w:tc>
                <w:tcPr>
                  <w:tcW w:w="1392" w:type="dxa"/>
                  <w:tcBorders>
                    <w:top w:val="single" w:sz="6" w:space="0" w:color="auto"/>
                    <w:bottom w:val="single" w:sz="12" w:space="0" w:color="auto"/>
                  </w:tcBorders>
                </w:tcPr>
                <w:p w:rsidR="009F0C77" w:rsidRPr="009F0C77" w:rsidRDefault="009F0C77" w:rsidP="009F0C77">
                  <w:pPr>
                    <w:tabs>
                      <w:tab w:val="left" w:pos="851"/>
                      <w:tab w:val="left" w:pos="1191"/>
                      <w:tab w:val="left" w:pos="1531"/>
                    </w:tabs>
                    <w:spacing w:after="180"/>
                    <w:jc w:val="center"/>
                    <w:rPr>
                      <w:b/>
                      <w:snapToGrid w:val="0"/>
                      <w:sz w:val="20"/>
                      <w:szCs w:val="20"/>
                      <w:lang w:val="en-GB"/>
                    </w:rPr>
                  </w:pPr>
                  <w:r w:rsidRPr="009F0C77">
                    <w:rPr>
                      <w:b/>
                      <w:snapToGrid w:val="0"/>
                      <w:sz w:val="20"/>
                      <w:szCs w:val="20"/>
                      <w:lang w:val="en-GB"/>
                    </w:rPr>
                    <w:t xml:space="preserve">Genetic toxicity (chromosome aberration) </w:t>
                  </w:r>
                </w:p>
              </w:tc>
              <w:tc>
                <w:tcPr>
                  <w:tcW w:w="1525" w:type="dxa"/>
                  <w:tcBorders>
                    <w:top w:val="single" w:sz="6" w:space="0" w:color="auto"/>
                    <w:bottom w:val="single" w:sz="12" w:space="0" w:color="auto"/>
                  </w:tcBorders>
                </w:tcPr>
                <w:p w:rsidR="009F0C77" w:rsidRPr="009F0C77" w:rsidRDefault="009F0C77" w:rsidP="009F0C77">
                  <w:pPr>
                    <w:tabs>
                      <w:tab w:val="left" w:pos="851"/>
                      <w:tab w:val="left" w:pos="1191"/>
                      <w:tab w:val="left" w:pos="1531"/>
                    </w:tabs>
                    <w:spacing w:after="180"/>
                    <w:jc w:val="center"/>
                    <w:rPr>
                      <w:b/>
                      <w:snapToGrid w:val="0"/>
                      <w:sz w:val="20"/>
                      <w:szCs w:val="20"/>
                      <w:lang w:val="en-GB"/>
                    </w:rPr>
                  </w:pPr>
                  <w:r w:rsidRPr="009F0C77">
                    <w:rPr>
                      <w:b/>
                      <w:snapToGrid w:val="0"/>
                      <w:sz w:val="20"/>
                      <w:szCs w:val="20"/>
                      <w:lang w:val="en-GB"/>
                    </w:rPr>
                    <w:t>Aquatic toxicity to Fish, Daphnid and Algae</w:t>
                  </w:r>
                </w:p>
              </w:tc>
            </w:tr>
            <w:tr w:rsidR="009F0C77" w:rsidRPr="009F0C77" w:rsidTr="009F0C77">
              <w:trPr>
                <w:trHeight w:val="145"/>
              </w:trPr>
              <w:tc>
                <w:tcPr>
                  <w:tcW w:w="1102" w:type="dxa"/>
                  <w:tcBorders>
                    <w:top w:val="single" w:sz="12" w:space="0" w:color="auto"/>
                  </w:tcBorders>
                  <w:shd w:val="clear" w:color="auto" w:fill="auto"/>
                </w:tcPr>
                <w:p w:rsidR="009F0C77" w:rsidRPr="009F0C77" w:rsidRDefault="009F0C77" w:rsidP="009F0C77">
                  <w:pPr>
                    <w:tabs>
                      <w:tab w:val="left" w:pos="851"/>
                      <w:tab w:val="left" w:pos="1191"/>
                      <w:tab w:val="left" w:pos="1531"/>
                    </w:tabs>
                    <w:spacing w:after="180"/>
                    <w:rPr>
                      <w:b/>
                      <w:sz w:val="20"/>
                      <w:szCs w:val="20"/>
                      <w:lang w:val="en-GB"/>
                    </w:rPr>
                  </w:pPr>
                  <w:r w:rsidRPr="009F0C77">
                    <w:rPr>
                      <w:b/>
                      <w:sz w:val="20"/>
                      <w:szCs w:val="20"/>
                      <w:lang w:val="en-GB"/>
                    </w:rPr>
                    <w:t>VDCS</w:t>
                  </w:r>
                </w:p>
              </w:tc>
              <w:tc>
                <w:tcPr>
                  <w:tcW w:w="1237" w:type="dxa"/>
                  <w:tcBorders>
                    <w:top w:val="single" w:sz="12" w:space="0" w:color="auto"/>
                  </w:tcBorders>
                  <w:shd w:val="clear" w:color="auto" w:fill="auto"/>
                </w:tcPr>
                <w:p w:rsidR="009F0C77" w:rsidRPr="009F0C77" w:rsidRDefault="009F0C77" w:rsidP="009F0C77">
                  <w:pPr>
                    <w:tabs>
                      <w:tab w:val="left" w:pos="851"/>
                      <w:tab w:val="left" w:pos="1191"/>
                      <w:tab w:val="left" w:pos="1531"/>
                    </w:tabs>
                    <w:spacing w:after="180"/>
                    <w:jc w:val="center"/>
                    <w:rPr>
                      <w:sz w:val="20"/>
                      <w:szCs w:val="20"/>
                      <w:lang w:val="en-GB"/>
                    </w:rPr>
                  </w:pPr>
                  <w:r w:rsidRPr="009F0C77">
                    <w:rPr>
                      <w:sz w:val="20"/>
                      <w:szCs w:val="20"/>
                      <w:lang w:val="en-GB"/>
                    </w:rPr>
                    <w:t>DMDCS</w:t>
                  </w:r>
                </w:p>
              </w:tc>
              <w:tc>
                <w:tcPr>
                  <w:tcW w:w="1276" w:type="dxa"/>
                  <w:tcBorders>
                    <w:top w:val="single" w:sz="12" w:space="0" w:color="auto"/>
                  </w:tcBorders>
                </w:tcPr>
                <w:p w:rsidR="009F0C77" w:rsidRPr="009F0C77" w:rsidRDefault="009F0C77" w:rsidP="009F0C77">
                  <w:pPr>
                    <w:tabs>
                      <w:tab w:val="left" w:pos="851"/>
                      <w:tab w:val="left" w:pos="1191"/>
                      <w:tab w:val="left" w:pos="1531"/>
                    </w:tabs>
                    <w:spacing w:after="180"/>
                    <w:jc w:val="center"/>
                    <w:rPr>
                      <w:snapToGrid w:val="0"/>
                      <w:sz w:val="20"/>
                      <w:szCs w:val="20"/>
                      <w:lang w:val="en-GB"/>
                    </w:rPr>
                  </w:pPr>
                  <w:r w:rsidRPr="009F0C77">
                    <w:rPr>
                      <w:snapToGrid w:val="0"/>
                      <w:sz w:val="20"/>
                      <w:szCs w:val="20"/>
                      <w:lang w:val="en-GB"/>
                    </w:rPr>
                    <w:t>X</w:t>
                  </w:r>
                </w:p>
              </w:tc>
              <w:tc>
                <w:tcPr>
                  <w:tcW w:w="1114" w:type="dxa"/>
                  <w:vMerge w:val="restart"/>
                  <w:tcBorders>
                    <w:top w:val="single" w:sz="12" w:space="0" w:color="auto"/>
                  </w:tcBorders>
                  <w:shd w:val="clear" w:color="auto" w:fill="auto"/>
                </w:tcPr>
                <w:p w:rsidR="009F0C77" w:rsidRPr="009F0C77" w:rsidRDefault="009F0C77" w:rsidP="009F0C77">
                  <w:pPr>
                    <w:tabs>
                      <w:tab w:val="left" w:pos="851"/>
                      <w:tab w:val="left" w:pos="1191"/>
                      <w:tab w:val="left" w:pos="1531"/>
                    </w:tabs>
                    <w:spacing w:after="180"/>
                    <w:jc w:val="center"/>
                    <w:rPr>
                      <w:snapToGrid w:val="0"/>
                      <w:sz w:val="20"/>
                      <w:szCs w:val="20"/>
                      <w:lang w:val="en-GB"/>
                    </w:rPr>
                  </w:pPr>
                  <w:r w:rsidRPr="009F0C77">
                    <w:rPr>
                      <w:b/>
                      <w:snapToGrid w:val="0"/>
                      <w:sz w:val="20"/>
                      <w:szCs w:val="20"/>
                      <w:lang w:val="en-GB"/>
                    </w:rPr>
                    <w:t>VTCS</w:t>
                  </w:r>
                  <w:r w:rsidRPr="009F0C77">
                    <w:rPr>
                      <w:snapToGrid w:val="0"/>
                      <w:sz w:val="20"/>
                      <w:szCs w:val="20"/>
                      <w:lang w:val="en-GB"/>
                    </w:rPr>
                    <w:t xml:space="preserve"> (RT)</w:t>
                  </w:r>
                </w:p>
                <w:p w:rsidR="009F0C77" w:rsidRPr="009F0C77" w:rsidRDefault="009F0C77" w:rsidP="009F0C77">
                  <w:pPr>
                    <w:tabs>
                      <w:tab w:val="left" w:pos="851"/>
                      <w:tab w:val="left" w:pos="1191"/>
                      <w:tab w:val="left" w:pos="1531"/>
                    </w:tabs>
                    <w:spacing w:after="180"/>
                    <w:jc w:val="center"/>
                    <w:rPr>
                      <w:sz w:val="20"/>
                      <w:szCs w:val="20"/>
                      <w:lang w:val="en-GB"/>
                    </w:rPr>
                  </w:pPr>
                  <w:r w:rsidRPr="009F0C77">
                    <w:rPr>
                      <w:snapToGrid w:val="0"/>
                      <w:sz w:val="20"/>
                      <w:szCs w:val="20"/>
                      <w:lang w:val="en-GB"/>
                    </w:rPr>
                    <w:t>HCl (skin, eye, RT)</w:t>
                  </w:r>
                </w:p>
              </w:tc>
              <w:tc>
                <w:tcPr>
                  <w:tcW w:w="1391" w:type="dxa"/>
                  <w:vMerge w:val="restart"/>
                  <w:tcBorders>
                    <w:top w:val="single" w:sz="12" w:space="0" w:color="auto"/>
                  </w:tcBorders>
                  <w:shd w:val="clear" w:color="auto" w:fill="auto"/>
                </w:tcPr>
                <w:p w:rsidR="009F0C77" w:rsidRPr="009F0C77" w:rsidRDefault="009F0C77" w:rsidP="009F0C77">
                  <w:pPr>
                    <w:tabs>
                      <w:tab w:val="left" w:pos="851"/>
                      <w:tab w:val="left" w:pos="1191"/>
                      <w:tab w:val="left" w:pos="1531"/>
                    </w:tabs>
                    <w:spacing w:after="180"/>
                    <w:jc w:val="center"/>
                    <w:rPr>
                      <w:snapToGrid w:val="0"/>
                      <w:sz w:val="20"/>
                      <w:szCs w:val="20"/>
                      <w:lang w:val="en-GB"/>
                    </w:rPr>
                  </w:pPr>
                  <w:r w:rsidRPr="009F0C77">
                    <w:rPr>
                      <w:sz w:val="20"/>
                      <w:szCs w:val="20"/>
                      <w:lang w:val="en-GB"/>
                    </w:rPr>
                    <w:t>VTMS, HCl</w:t>
                  </w:r>
                </w:p>
              </w:tc>
              <w:tc>
                <w:tcPr>
                  <w:tcW w:w="1392" w:type="dxa"/>
                  <w:tcBorders>
                    <w:top w:val="single" w:sz="12" w:space="0" w:color="auto"/>
                  </w:tcBorders>
                </w:tcPr>
                <w:p w:rsidR="009F0C77" w:rsidRPr="009F0C77" w:rsidRDefault="009F0C77" w:rsidP="009F0C77">
                  <w:pPr>
                    <w:tabs>
                      <w:tab w:val="left" w:pos="851"/>
                      <w:tab w:val="left" w:pos="1191"/>
                      <w:tab w:val="left" w:pos="1531"/>
                    </w:tabs>
                    <w:spacing w:after="180"/>
                    <w:jc w:val="center"/>
                    <w:rPr>
                      <w:snapToGrid w:val="0"/>
                      <w:sz w:val="20"/>
                      <w:szCs w:val="20"/>
                      <w:lang w:val="en-GB"/>
                    </w:rPr>
                  </w:pPr>
                  <w:r w:rsidRPr="009F0C77">
                    <w:rPr>
                      <w:snapToGrid w:val="0"/>
                      <w:sz w:val="20"/>
                      <w:szCs w:val="20"/>
                      <w:lang w:val="en-GB"/>
                    </w:rPr>
                    <w:t>X, HCl, VTMS</w:t>
                  </w:r>
                </w:p>
              </w:tc>
              <w:tc>
                <w:tcPr>
                  <w:tcW w:w="1525" w:type="dxa"/>
                  <w:tcBorders>
                    <w:top w:val="single" w:sz="12" w:space="0" w:color="auto"/>
                  </w:tcBorders>
                </w:tcPr>
                <w:p w:rsidR="009F0C77" w:rsidRPr="009F0C77" w:rsidRDefault="009F0C77" w:rsidP="009F0C77">
                  <w:pPr>
                    <w:tabs>
                      <w:tab w:val="left" w:pos="851"/>
                      <w:tab w:val="left" w:pos="1191"/>
                      <w:tab w:val="left" w:pos="1531"/>
                    </w:tabs>
                    <w:spacing w:after="180"/>
                    <w:jc w:val="center"/>
                    <w:rPr>
                      <w:snapToGrid w:val="0"/>
                      <w:sz w:val="20"/>
                      <w:szCs w:val="20"/>
                      <w:highlight w:val="green"/>
                      <w:lang w:val="en-GB"/>
                    </w:rPr>
                  </w:pPr>
                  <w:r w:rsidRPr="009F0C77">
                    <w:rPr>
                      <w:snapToGrid w:val="0"/>
                      <w:sz w:val="20"/>
                      <w:szCs w:val="20"/>
                      <w:lang w:val="en-GB"/>
                    </w:rPr>
                    <w:t>VTMS, DMSD, HCl</w:t>
                  </w:r>
                </w:p>
              </w:tc>
            </w:tr>
            <w:tr w:rsidR="009F0C77" w:rsidRPr="009F0C77" w:rsidTr="009F0C77">
              <w:trPr>
                <w:trHeight w:val="145"/>
              </w:trPr>
              <w:tc>
                <w:tcPr>
                  <w:tcW w:w="1102" w:type="dxa"/>
                  <w:shd w:val="clear" w:color="auto" w:fill="auto"/>
                </w:tcPr>
                <w:p w:rsidR="009F0C77" w:rsidRPr="009F0C77" w:rsidRDefault="009F0C77" w:rsidP="009F0C77">
                  <w:pPr>
                    <w:tabs>
                      <w:tab w:val="left" w:pos="851"/>
                      <w:tab w:val="left" w:pos="1191"/>
                      <w:tab w:val="left" w:pos="1531"/>
                    </w:tabs>
                    <w:spacing w:after="180"/>
                    <w:rPr>
                      <w:b/>
                      <w:sz w:val="20"/>
                      <w:szCs w:val="20"/>
                      <w:lang w:val="en-GB"/>
                    </w:rPr>
                  </w:pPr>
                  <w:r w:rsidRPr="009F0C77">
                    <w:rPr>
                      <w:b/>
                      <w:sz w:val="20"/>
                      <w:szCs w:val="20"/>
                      <w:lang w:val="en-GB"/>
                    </w:rPr>
                    <w:t>VTCS</w:t>
                  </w:r>
                </w:p>
              </w:tc>
              <w:tc>
                <w:tcPr>
                  <w:tcW w:w="1237" w:type="dxa"/>
                  <w:shd w:val="clear" w:color="auto" w:fill="auto"/>
                </w:tcPr>
                <w:p w:rsidR="009F0C77" w:rsidRPr="009F0C77" w:rsidRDefault="009F0C77" w:rsidP="009F0C77">
                  <w:pPr>
                    <w:tabs>
                      <w:tab w:val="left" w:pos="851"/>
                      <w:tab w:val="left" w:pos="1191"/>
                      <w:tab w:val="left" w:pos="1531"/>
                    </w:tabs>
                    <w:spacing w:after="180"/>
                    <w:jc w:val="center"/>
                    <w:rPr>
                      <w:sz w:val="20"/>
                      <w:szCs w:val="20"/>
                      <w:lang w:val="en-GB"/>
                    </w:rPr>
                  </w:pPr>
                  <w:r w:rsidRPr="009F0C77">
                    <w:rPr>
                      <w:sz w:val="20"/>
                      <w:szCs w:val="20"/>
                      <w:lang w:val="en-GB"/>
                    </w:rPr>
                    <w:t>MTCS</w:t>
                  </w:r>
                </w:p>
              </w:tc>
              <w:tc>
                <w:tcPr>
                  <w:tcW w:w="1276" w:type="dxa"/>
                </w:tcPr>
                <w:p w:rsidR="009F0C77" w:rsidRPr="009F0C77" w:rsidRDefault="009F0C77" w:rsidP="009F0C77">
                  <w:pPr>
                    <w:tabs>
                      <w:tab w:val="left" w:pos="851"/>
                      <w:tab w:val="left" w:pos="1191"/>
                      <w:tab w:val="left" w:pos="1531"/>
                    </w:tabs>
                    <w:spacing w:after="180"/>
                    <w:jc w:val="center"/>
                    <w:rPr>
                      <w:snapToGrid w:val="0"/>
                      <w:sz w:val="20"/>
                      <w:szCs w:val="20"/>
                      <w:lang w:val="en-GB"/>
                    </w:rPr>
                  </w:pPr>
                  <w:r w:rsidRPr="009F0C77">
                    <w:rPr>
                      <w:b/>
                      <w:snapToGrid w:val="0"/>
                      <w:sz w:val="20"/>
                      <w:szCs w:val="20"/>
                      <w:lang w:val="en-GB"/>
                    </w:rPr>
                    <w:t>VDCS</w:t>
                  </w:r>
                  <w:r w:rsidRPr="009F0C77">
                    <w:rPr>
                      <w:snapToGrid w:val="0"/>
                      <w:sz w:val="20"/>
                      <w:szCs w:val="20"/>
                      <w:lang w:val="en-GB"/>
                    </w:rPr>
                    <w:t>; VTMS</w:t>
                  </w:r>
                </w:p>
              </w:tc>
              <w:tc>
                <w:tcPr>
                  <w:tcW w:w="1114" w:type="dxa"/>
                  <w:vMerge/>
                  <w:shd w:val="clear" w:color="auto" w:fill="auto"/>
                </w:tcPr>
                <w:p w:rsidR="009F0C77" w:rsidRPr="009F0C77" w:rsidRDefault="009F0C77" w:rsidP="009F0C77">
                  <w:pPr>
                    <w:tabs>
                      <w:tab w:val="left" w:pos="851"/>
                      <w:tab w:val="left" w:pos="1191"/>
                      <w:tab w:val="left" w:pos="1531"/>
                    </w:tabs>
                    <w:spacing w:after="180"/>
                    <w:jc w:val="center"/>
                    <w:rPr>
                      <w:sz w:val="20"/>
                      <w:szCs w:val="20"/>
                      <w:lang w:val="en-GB"/>
                    </w:rPr>
                  </w:pPr>
                </w:p>
              </w:tc>
              <w:tc>
                <w:tcPr>
                  <w:tcW w:w="1391" w:type="dxa"/>
                  <w:vMerge/>
                  <w:shd w:val="clear" w:color="auto" w:fill="auto"/>
                </w:tcPr>
                <w:p w:rsidR="009F0C77" w:rsidRPr="009F0C77" w:rsidRDefault="009F0C77" w:rsidP="009F0C77">
                  <w:pPr>
                    <w:tabs>
                      <w:tab w:val="left" w:pos="851"/>
                      <w:tab w:val="left" w:pos="1191"/>
                      <w:tab w:val="left" w:pos="1531"/>
                    </w:tabs>
                    <w:spacing w:after="180"/>
                    <w:jc w:val="center"/>
                    <w:rPr>
                      <w:snapToGrid w:val="0"/>
                      <w:sz w:val="20"/>
                      <w:szCs w:val="20"/>
                      <w:lang w:val="en-GB"/>
                    </w:rPr>
                  </w:pPr>
                </w:p>
              </w:tc>
              <w:tc>
                <w:tcPr>
                  <w:tcW w:w="1392" w:type="dxa"/>
                </w:tcPr>
                <w:p w:rsidR="009F0C77" w:rsidRPr="009F0C77" w:rsidRDefault="009F0C77" w:rsidP="009F0C77">
                  <w:pPr>
                    <w:tabs>
                      <w:tab w:val="left" w:pos="851"/>
                      <w:tab w:val="left" w:pos="1191"/>
                      <w:tab w:val="left" w:pos="1531"/>
                    </w:tabs>
                    <w:spacing w:after="180"/>
                    <w:jc w:val="center"/>
                    <w:rPr>
                      <w:snapToGrid w:val="0"/>
                      <w:sz w:val="20"/>
                      <w:szCs w:val="20"/>
                      <w:lang w:val="en-GB"/>
                    </w:rPr>
                  </w:pPr>
                  <w:r w:rsidRPr="009F0C77">
                    <w:rPr>
                      <w:snapToGrid w:val="0"/>
                      <w:sz w:val="20"/>
                      <w:szCs w:val="20"/>
                      <w:lang w:val="en-GB"/>
                    </w:rPr>
                    <w:t>X, HCl, VTMS</w:t>
                  </w:r>
                </w:p>
              </w:tc>
              <w:tc>
                <w:tcPr>
                  <w:tcW w:w="1525" w:type="dxa"/>
                </w:tcPr>
                <w:p w:rsidR="009F0C77" w:rsidRPr="009F0C77" w:rsidRDefault="009F0C77" w:rsidP="009F0C77">
                  <w:pPr>
                    <w:tabs>
                      <w:tab w:val="left" w:pos="851"/>
                      <w:tab w:val="left" w:pos="1191"/>
                      <w:tab w:val="left" w:pos="1531"/>
                    </w:tabs>
                    <w:spacing w:after="180"/>
                    <w:jc w:val="center"/>
                    <w:rPr>
                      <w:snapToGrid w:val="0"/>
                      <w:sz w:val="20"/>
                      <w:szCs w:val="20"/>
                      <w:highlight w:val="green"/>
                      <w:lang w:val="en-GB"/>
                    </w:rPr>
                  </w:pPr>
                  <w:r w:rsidRPr="009F0C77">
                    <w:rPr>
                      <w:snapToGrid w:val="0"/>
                      <w:sz w:val="20"/>
                      <w:szCs w:val="20"/>
                      <w:lang w:val="en-GB"/>
                    </w:rPr>
                    <w:t>VTMS, HCl</w:t>
                  </w:r>
                </w:p>
              </w:tc>
            </w:tr>
          </w:tbl>
          <w:p w:rsidR="009F0C77" w:rsidRPr="009F0C77" w:rsidRDefault="009F0C77" w:rsidP="009F0C77">
            <w:pPr>
              <w:tabs>
                <w:tab w:val="left" w:pos="851"/>
                <w:tab w:val="left" w:pos="1191"/>
                <w:tab w:val="left" w:pos="1531"/>
              </w:tabs>
              <w:spacing w:after="180"/>
              <w:rPr>
                <w:sz w:val="20"/>
                <w:szCs w:val="20"/>
                <w:lang w:val="en-GB"/>
              </w:rPr>
            </w:pPr>
            <w:r w:rsidRPr="009F0C77">
              <w:rPr>
                <w:sz w:val="20"/>
                <w:szCs w:val="20"/>
                <w:lang w:val="en-GB"/>
              </w:rPr>
              <w:t xml:space="preserve">    X= data available</w:t>
            </w:r>
          </w:p>
          <w:p w:rsidR="009F0C77" w:rsidRPr="009F0C77" w:rsidRDefault="009F0C77" w:rsidP="009F0C77">
            <w:pPr>
              <w:tabs>
                <w:tab w:val="left" w:pos="851"/>
                <w:tab w:val="left" w:pos="1191"/>
                <w:tab w:val="left" w:pos="1531"/>
              </w:tabs>
              <w:spacing w:after="180"/>
              <w:ind w:left="214"/>
              <w:jc w:val="both"/>
              <w:rPr>
                <w:b/>
                <w:sz w:val="20"/>
                <w:szCs w:val="20"/>
                <w:lang w:val="en-GB"/>
              </w:rPr>
            </w:pPr>
            <w:r w:rsidRPr="009F0C77">
              <w:rPr>
                <w:b/>
                <w:sz w:val="20"/>
                <w:szCs w:val="20"/>
                <w:lang w:val="en-GB"/>
              </w:rPr>
              <w:t xml:space="preserve">Physical-chemical </w:t>
            </w:r>
            <w:r>
              <w:rPr>
                <w:b/>
                <w:sz w:val="20"/>
                <w:szCs w:val="20"/>
                <w:lang w:val="en-GB"/>
              </w:rPr>
              <w:t>p</w:t>
            </w:r>
            <w:r w:rsidRPr="009F0C77">
              <w:rPr>
                <w:b/>
                <w:sz w:val="20"/>
                <w:szCs w:val="20"/>
                <w:lang w:val="en-GB"/>
              </w:rPr>
              <w:t>roperties</w:t>
            </w:r>
          </w:p>
          <w:p w:rsidR="009F0C77" w:rsidRPr="009F0C77" w:rsidRDefault="009F0C77" w:rsidP="009F0C77">
            <w:pPr>
              <w:keepNext/>
              <w:keepLines/>
              <w:tabs>
                <w:tab w:val="left" w:pos="851"/>
                <w:tab w:val="left" w:pos="1191"/>
                <w:tab w:val="left" w:pos="1531"/>
              </w:tabs>
              <w:spacing w:after="180"/>
              <w:ind w:leftChars="97" w:left="233" w:rightChars="154" w:right="370" w:firstLine="1"/>
              <w:jc w:val="both"/>
              <w:rPr>
                <w:rFonts w:eastAsia="MS Mincho"/>
                <w:snapToGrid w:val="0"/>
                <w:sz w:val="20"/>
                <w:szCs w:val="20"/>
                <w:lang w:eastAsia="da-DK"/>
              </w:rPr>
            </w:pPr>
            <w:r w:rsidRPr="009F0C77">
              <w:rPr>
                <w:rFonts w:eastAsia="MS Mincho"/>
                <w:sz w:val="20"/>
                <w:szCs w:val="20"/>
                <w:lang w:val="en-GB" w:eastAsia="ja-JP"/>
              </w:rPr>
              <w:t>The sponsored substances are liquids with a measured melting point of -95 °C, measured boiling points of 91.4 °C (</w:t>
            </w:r>
            <w:r w:rsidRPr="009F0C77">
              <w:rPr>
                <w:rFonts w:eastAsia="MS Mincho"/>
                <w:b/>
                <w:sz w:val="20"/>
                <w:szCs w:val="20"/>
                <w:lang w:val="en-GB" w:eastAsia="ja-JP"/>
              </w:rPr>
              <w:t>VTCS</w:t>
            </w:r>
            <w:r w:rsidRPr="009F0C77">
              <w:rPr>
                <w:rFonts w:eastAsia="MS Mincho"/>
                <w:sz w:val="20"/>
                <w:szCs w:val="20"/>
                <w:lang w:val="en-GB" w:eastAsia="ja-JP"/>
              </w:rPr>
              <w:t>) to 93.8 °C (</w:t>
            </w:r>
            <w:r w:rsidRPr="009F0C77">
              <w:rPr>
                <w:rFonts w:eastAsia="MS Mincho"/>
                <w:b/>
                <w:sz w:val="20"/>
                <w:szCs w:val="20"/>
                <w:lang w:val="en-GB" w:eastAsia="ja-JP"/>
              </w:rPr>
              <w:t>VDCS</w:t>
            </w:r>
            <w:r w:rsidRPr="009F0C77">
              <w:rPr>
                <w:rFonts w:eastAsia="MS Mincho"/>
                <w:sz w:val="20"/>
                <w:szCs w:val="20"/>
                <w:lang w:val="en-GB" w:eastAsia="ja-JP"/>
              </w:rPr>
              <w:t>), and vapour pressures of 58.75 hPa (</w:t>
            </w:r>
            <w:r w:rsidRPr="009F0C77">
              <w:rPr>
                <w:rFonts w:eastAsia="MS Mincho"/>
                <w:b/>
                <w:sz w:val="20"/>
                <w:szCs w:val="20"/>
                <w:lang w:val="en-GB" w:eastAsia="ja-JP"/>
              </w:rPr>
              <w:t>VDCS</w:t>
            </w:r>
            <w:r w:rsidRPr="009F0C77">
              <w:rPr>
                <w:rFonts w:eastAsia="MS Mincho"/>
                <w:sz w:val="20"/>
                <w:szCs w:val="20"/>
                <w:lang w:val="en-GB" w:eastAsia="ja-JP"/>
              </w:rPr>
              <w:t>, extrapolated) to 87.99 hPa (</w:t>
            </w:r>
            <w:r w:rsidRPr="009F0C77">
              <w:rPr>
                <w:rFonts w:eastAsia="MS Mincho"/>
                <w:b/>
                <w:sz w:val="20"/>
                <w:szCs w:val="20"/>
                <w:lang w:val="en-GB" w:eastAsia="ja-JP"/>
              </w:rPr>
              <w:t>VTCS</w:t>
            </w:r>
            <w:r w:rsidRPr="009F0C77">
              <w:rPr>
                <w:rFonts w:eastAsia="MS Mincho"/>
                <w:sz w:val="20"/>
                <w:szCs w:val="20"/>
                <w:lang w:val="en-GB" w:eastAsia="ja-JP"/>
              </w:rPr>
              <w:t>, extrapolated). The calculated octanol-water partition coefficients (log K</w:t>
            </w:r>
            <w:r w:rsidRPr="009F0C77">
              <w:rPr>
                <w:rFonts w:eastAsia="MS Mincho"/>
                <w:sz w:val="20"/>
                <w:szCs w:val="20"/>
                <w:vertAlign w:val="subscript"/>
                <w:lang w:val="en-GB" w:eastAsia="ja-JP"/>
              </w:rPr>
              <w:t>ow</w:t>
            </w:r>
            <w:r w:rsidRPr="009F0C77">
              <w:rPr>
                <w:rFonts w:eastAsia="MS Mincho"/>
                <w:sz w:val="20"/>
                <w:szCs w:val="20"/>
                <w:lang w:val="en-GB" w:eastAsia="ja-JP"/>
              </w:rPr>
              <w:t>) are 2.4 (</w:t>
            </w:r>
            <w:r w:rsidRPr="009F0C77">
              <w:rPr>
                <w:rFonts w:eastAsia="MS Mincho"/>
                <w:b/>
                <w:sz w:val="20"/>
                <w:szCs w:val="20"/>
                <w:lang w:val="en-GB" w:eastAsia="ja-JP"/>
              </w:rPr>
              <w:t>VTCS</w:t>
            </w:r>
            <w:r w:rsidRPr="009F0C77">
              <w:rPr>
                <w:rFonts w:eastAsia="MS Mincho"/>
                <w:sz w:val="20"/>
                <w:szCs w:val="20"/>
                <w:lang w:val="en-GB" w:eastAsia="ja-JP"/>
              </w:rPr>
              <w:t>) and 2.6 (</w:t>
            </w:r>
            <w:r w:rsidRPr="009F0C77">
              <w:rPr>
                <w:rFonts w:eastAsia="MS Mincho"/>
                <w:b/>
                <w:sz w:val="20"/>
                <w:szCs w:val="20"/>
                <w:lang w:val="en-GB" w:eastAsia="ja-JP"/>
              </w:rPr>
              <w:t>VDCS</w:t>
            </w:r>
            <w:r w:rsidRPr="009F0C77">
              <w:rPr>
                <w:rFonts w:eastAsia="MS Mincho"/>
                <w:sz w:val="20"/>
                <w:szCs w:val="20"/>
                <w:lang w:val="en-GB" w:eastAsia="ja-JP"/>
              </w:rPr>
              <w:t>), and the calculated water solubilities are 802.3 (</w:t>
            </w:r>
            <w:r w:rsidRPr="009F0C77">
              <w:rPr>
                <w:rFonts w:eastAsia="MS Mincho"/>
                <w:b/>
                <w:sz w:val="20"/>
                <w:szCs w:val="20"/>
                <w:lang w:val="en-GB" w:eastAsia="ja-JP"/>
              </w:rPr>
              <w:t>VDCS</w:t>
            </w:r>
            <w:r w:rsidRPr="009F0C77">
              <w:rPr>
                <w:rFonts w:eastAsia="MS Mincho"/>
                <w:sz w:val="20"/>
                <w:szCs w:val="20"/>
                <w:lang w:val="en-GB" w:eastAsia="ja-JP"/>
              </w:rPr>
              <w:t>) and 1338 (</w:t>
            </w:r>
            <w:r w:rsidRPr="009F0C77">
              <w:rPr>
                <w:rFonts w:eastAsia="MS Mincho"/>
                <w:b/>
                <w:sz w:val="20"/>
                <w:szCs w:val="20"/>
                <w:lang w:val="en-GB" w:eastAsia="ja-JP"/>
              </w:rPr>
              <w:t>VTCS</w:t>
            </w:r>
            <w:r w:rsidRPr="009F0C77">
              <w:rPr>
                <w:rFonts w:eastAsia="MS Mincho"/>
                <w:sz w:val="20"/>
                <w:szCs w:val="20"/>
                <w:lang w:val="en-GB" w:eastAsia="ja-JP"/>
              </w:rPr>
              <w:t xml:space="preserve">) mg/L at 25 °C. </w:t>
            </w:r>
            <w:r w:rsidRPr="009F0C77">
              <w:rPr>
                <w:rFonts w:eastAsia="MS Mincho"/>
                <w:snapToGrid w:val="0"/>
                <w:sz w:val="20"/>
                <w:szCs w:val="20"/>
                <w:lang w:eastAsia="da-DK"/>
              </w:rPr>
              <w:t>The calculated water solubility and log Kow values may not be relevant because the substances are hydrolytically unstable.</w:t>
            </w:r>
          </w:p>
          <w:p w:rsidR="009F0C77" w:rsidRPr="009F0C77" w:rsidRDefault="009F0C77" w:rsidP="009F0C77">
            <w:pPr>
              <w:tabs>
                <w:tab w:val="left" w:pos="375"/>
                <w:tab w:val="left" w:pos="531"/>
                <w:tab w:val="left" w:pos="851"/>
                <w:tab w:val="left" w:pos="1191"/>
                <w:tab w:val="left" w:pos="1531"/>
              </w:tabs>
              <w:spacing w:after="180"/>
              <w:ind w:firstLine="180"/>
              <w:jc w:val="both"/>
              <w:rPr>
                <w:b/>
                <w:sz w:val="20"/>
                <w:szCs w:val="20"/>
                <w:lang w:val="en-GB"/>
              </w:rPr>
            </w:pPr>
            <w:r>
              <w:rPr>
                <w:b/>
                <w:sz w:val="20"/>
                <w:szCs w:val="20"/>
                <w:lang w:val="en-GB"/>
              </w:rPr>
              <w:t>Human h</w:t>
            </w:r>
            <w:r w:rsidRPr="009F0C77">
              <w:rPr>
                <w:b/>
                <w:sz w:val="20"/>
                <w:szCs w:val="20"/>
                <w:lang w:val="en-GB"/>
              </w:rPr>
              <w:t>ealth</w:t>
            </w:r>
          </w:p>
          <w:p w:rsidR="009F0C77" w:rsidRPr="009F0C77" w:rsidRDefault="009F0C77" w:rsidP="009F0C77">
            <w:pPr>
              <w:autoSpaceDE w:val="0"/>
              <w:autoSpaceDN w:val="0"/>
              <w:adjustRightInd w:val="0"/>
              <w:spacing w:after="180"/>
              <w:ind w:left="180" w:right="158"/>
              <w:jc w:val="both"/>
              <w:rPr>
                <w:sz w:val="20"/>
                <w:szCs w:val="20"/>
                <w:lang w:val="en-GB"/>
              </w:rPr>
            </w:pPr>
            <w:r w:rsidRPr="009F0C77">
              <w:rPr>
                <w:sz w:val="20"/>
                <w:szCs w:val="20"/>
                <w:lang w:val="en-GB" w:eastAsia="ja-JP"/>
              </w:rPr>
              <w:t>No data are available on the toxicokinetics, metabolism and distribution of the vinyl chlorosilanes. However, these substances are expected to rapidly hydrolyze on contact with moisture.</w:t>
            </w:r>
            <w:r w:rsidRPr="009F0C77">
              <w:rPr>
                <w:sz w:val="20"/>
                <w:szCs w:val="20"/>
              </w:rPr>
              <w:t xml:space="preserve"> Although t</w:t>
            </w:r>
            <w:r w:rsidRPr="009F0C77">
              <w:rPr>
                <w:sz w:val="20"/>
                <w:szCs w:val="20"/>
                <w:lang w:val="en-GB"/>
              </w:rPr>
              <w:t>he silanol hydrolysis products are not expected to be absorbed across the skin or respiratory epithelium,</w:t>
            </w:r>
            <w:r w:rsidRPr="009F0C77">
              <w:rPr>
                <w:sz w:val="20"/>
                <w:szCs w:val="20"/>
              </w:rPr>
              <w:t xml:space="preserve">damage to membranes caused by HCl’s corrosivity might enhance the uptake of the sponsored substances or the silanol hydrolysis products. </w:t>
            </w:r>
            <w:r w:rsidRPr="009F0C77">
              <w:rPr>
                <w:sz w:val="20"/>
                <w:szCs w:val="20"/>
                <w:lang w:val="en-GB"/>
              </w:rPr>
              <w:t>The hydrophilic nature of the silanol hydrolysis products is expected to limit diffusion across membranes and accumulation in fatty tissues. Hydrogen and chloride ions will enter the body’s natural homeostatic processes. HCl will rapidly dissociate and its effects are thought to be a result of pH change (local deposition of H</w:t>
            </w:r>
            <w:r w:rsidRPr="009F0C77">
              <w:rPr>
                <w:sz w:val="20"/>
                <w:szCs w:val="20"/>
                <w:vertAlign w:val="superscript"/>
                <w:lang w:val="en-GB"/>
              </w:rPr>
              <w:t>+</w:t>
            </w:r>
            <w:r w:rsidRPr="009F0C77">
              <w:rPr>
                <w:sz w:val="20"/>
                <w:szCs w:val="20"/>
                <w:lang w:val="en-GB"/>
              </w:rPr>
              <w:t>). The low molecular weight and water solubility of the silanols suggest elimination via the kidneys in urine.</w:t>
            </w:r>
          </w:p>
          <w:p w:rsidR="009F0C77" w:rsidRPr="009F0C77" w:rsidRDefault="009F0C77" w:rsidP="009F0C77">
            <w:pPr>
              <w:tabs>
                <w:tab w:val="left" w:pos="851"/>
                <w:tab w:val="left" w:pos="1191"/>
                <w:tab w:val="left" w:pos="1531"/>
              </w:tabs>
              <w:spacing w:after="180"/>
              <w:ind w:left="180" w:right="158"/>
              <w:jc w:val="both"/>
              <w:rPr>
                <w:sz w:val="20"/>
                <w:szCs w:val="20"/>
                <w:lang w:val="en-GB"/>
              </w:rPr>
            </w:pPr>
            <w:r w:rsidRPr="009F0C77">
              <w:rPr>
                <w:sz w:val="20"/>
                <w:szCs w:val="20"/>
                <w:lang w:val="en-GB"/>
              </w:rPr>
              <w:t>The acute inhalation toxicity of the vinyl chlorosilanes is well characterized, and is expected to result from HCl exposure. The 1-hour nominal acute inhalation LC</w:t>
            </w:r>
            <w:r w:rsidRPr="009F0C77">
              <w:rPr>
                <w:sz w:val="20"/>
                <w:szCs w:val="20"/>
                <w:vertAlign w:val="subscript"/>
                <w:lang w:val="en-GB"/>
              </w:rPr>
              <w:t>50</w:t>
            </w:r>
            <w:r w:rsidRPr="009F0C77">
              <w:rPr>
                <w:sz w:val="20"/>
                <w:szCs w:val="20"/>
                <w:lang w:val="en-GB"/>
              </w:rPr>
              <w:t xml:space="preserve"> for </w:t>
            </w:r>
            <w:r w:rsidRPr="009F0C77">
              <w:rPr>
                <w:b/>
                <w:sz w:val="20"/>
                <w:szCs w:val="20"/>
                <w:lang w:val="en-GB"/>
              </w:rPr>
              <w:t>VDCS</w:t>
            </w:r>
            <w:r w:rsidRPr="009F0C77">
              <w:rPr>
                <w:sz w:val="20"/>
                <w:szCs w:val="20"/>
                <w:lang w:val="en-GB"/>
              </w:rPr>
              <w:t xml:space="preserve"> in rats was &gt; 8.61 mg/L and </w:t>
            </w:r>
            <w:r w:rsidRPr="009F0C77">
              <w:rPr>
                <w:sz w:val="20"/>
                <w:szCs w:val="20"/>
                <w:u w:val="single"/>
                <w:lang w:val="en-GB"/>
              </w:rPr>
              <w:t>&lt;</w:t>
            </w:r>
            <w:r w:rsidRPr="009F0C77">
              <w:rPr>
                <w:sz w:val="20"/>
                <w:szCs w:val="20"/>
                <w:lang w:val="en-GB"/>
              </w:rPr>
              <w:t xml:space="preserve"> 9.61 mg/L. For </w:t>
            </w:r>
            <w:r w:rsidRPr="009F0C77">
              <w:rPr>
                <w:b/>
                <w:sz w:val="20"/>
                <w:szCs w:val="20"/>
                <w:lang w:val="en-GB"/>
              </w:rPr>
              <w:t>VTCS</w:t>
            </w:r>
            <w:r w:rsidRPr="009F0C77">
              <w:rPr>
                <w:sz w:val="20"/>
                <w:szCs w:val="20"/>
                <w:lang w:val="en-GB"/>
              </w:rPr>
              <w:t>, the 4-hour value in rats is &lt; 0.73 mg/L, and the 1-hour values in rats were 10.63 and 13.13 mg/L (both nominal values). Clinical signs and necropsy findings for animals that died during the study reflected the corrosive nature of the test substance. Inhalation LC</w:t>
            </w:r>
            <w:r w:rsidRPr="009F0C77">
              <w:rPr>
                <w:sz w:val="20"/>
                <w:szCs w:val="20"/>
                <w:vertAlign w:val="subscript"/>
                <w:lang w:val="en-GB"/>
              </w:rPr>
              <w:t>50</w:t>
            </w:r>
            <w:r w:rsidRPr="009F0C77">
              <w:rPr>
                <w:sz w:val="20"/>
                <w:szCs w:val="20"/>
                <w:lang w:val="en-GB"/>
              </w:rPr>
              <w:t xml:space="preserve"> values for HCl were determined to be 4.2-4.7 mg/L for 1 hour for rats. The dermal LD</w:t>
            </w:r>
            <w:r w:rsidRPr="009F0C77">
              <w:rPr>
                <w:sz w:val="20"/>
                <w:szCs w:val="20"/>
                <w:vertAlign w:val="subscript"/>
                <w:lang w:val="en-GB"/>
              </w:rPr>
              <w:t>50</w:t>
            </w:r>
            <w:r w:rsidRPr="009F0C77">
              <w:rPr>
                <w:sz w:val="20"/>
                <w:szCs w:val="20"/>
                <w:lang w:val="en-GB"/>
              </w:rPr>
              <w:t xml:space="preserve"> of </w:t>
            </w:r>
            <w:r w:rsidRPr="009F0C77">
              <w:rPr>
                <w:b/>
                <w:sz w:val="20"/>
                <w:szCs w:val="20"/>
                <w:lang w:val="en-GB"/>
              </w:rPr>
              <w:t>VTCS</w:t>
            </w:r>
            <w:r w:rsidRPr="009F0C77">
              <w:rPr>
                <w:sz w:val="20"/>
                <w:szCs w:val="20"/>
                <w:lang w:val="en-GB"/>
              </w:rPr>
              <w:t xml:space="preserve"> in rabbits was ca. 864 mg/kg bw; dermal toxicity data were not located for </w:t>
            </w:r>
            <w:r w:rsidRPr="009F0C77">
              <w:rPr>
                <w:b/>
                <w:sz w:val="20"/>
                <w:szCs w:val="20"/>
                <w:lang w:val="en-GB"/>
              </w:rPr>
              <w:t>VDCS</w:t>
            </w:r>
            <w:r w:rsidRPr="009F0C77">
              <w:rPr>
                <w:sz w:val="20"/>
                <w:szCs w:val="20"/>
                <w:lang w:val="en-GB"/>
              </w:rPr>
              <w:t>. The oral LD</w:t>
            </w:r>
            <w:r w:rsidRPr="009F0C77">
              <w:rPr>
                <w:sz w:val="20"/>
                <w:szCs w:val="20"/>
                <w:vertAlign w:val="subscript"/>
                <w:lang w:val="en-GB"/>
              </w:rPr>
              <w:t>50</w:t>
            </w:r>
            <w:r w:rsidRPr="009F0C77">
              <w:rPr>
                <w:sz w:val="20"/>
                <w:szCs w:val="20"/>
                <w:lang w:val="en-GB"/>
              </w:rPr>
              <w:t>s in rats were between 200 and 2000 mg/kg (</w:t>
            </w:r>
            <w:r w:rsidRPr="009F0C77">
              <w:rPr>
                <w:b/>
                <w:sz w:val="20"/>
                <w:szCs w:val="20"/>
                <w:lang w:val="en-GB"/>
              </w:rPr>
              <w:t>VDCS</w:t>
            </w:r>
            <w:r w:rsidRPr="009F0C77">
              <w:rPr>
                <w:sz w:val="20"/>
                <w:szCs w:val="20"/>
                <w:lang w:val="en-GB"/>
              </w:rPr>
              <w:t>) and 1280 mg/kg (</w:t>
            </w:r>
            <w:r w:rsidRPr="009F0C77">
              <w:rPr>
                <w:b/>
                <w:sz w:val="20"/>
                <w:szCs w:val="20"/>
                <w:lang w:val="en-GB"/>
              </w:rPr>
              <w:t>VTCS</w:t>
            </w:r>
            <w:r w:rsidRPr="009F0C77">
              <w:rPr>
                <w:sz w:val="20"/>
                <w:szCs w:val="20"/>
                <w:lang w:val="en-GB"/>
              </w:rPr>
              <w:t>); corrosive effects were observed in the gastrointestinal tract (site of contact). The acute oral LD</w:t>
            </w:r>
            <w:r w:rsidRPr="009F0C77">
              <w:rPr>
                <w:sz w:val="20"/>
                <w:szCs w:val="20"/>
                <w:vertAlign w:val="subscript"/>
                <w:lang w:val="en-GB"/>
              </w:rPr>
              <w:t>50</w:t>
            </w:r>
            <w:r w:rsidRPr="009F0C77">
              <w:rPr>
                <w:sz w:val="20"/>
                <w:szCs w:val="20"/>
                <w:lang w:val="en-GB"/>
              </w:rPr>
              <w:t xml:space="preserve"> values of HCl were determined to be 238-277 mg/kg bw for female rats.</w:t>
            </w:r>
          </w:p>
          <w:p w:rsidR="009F0C77" w:rsidRPr="009F0C77" w:rsidRDefault="009F0C77" w:rsidP="009F0C77">
            <w:pPr>
              <w:tabs>
                <w:tab w:val="left" w:pos="851"/>
                <w:tab w:val="left" w:pos="1191"/>
                <w:tab w:val="left" w:pos="1531"/>
              </w:tabs>
              <w:spacing w:after="180"/>
              <w:ind w:left="180" w:right="158"/>
              <w:jc w:val="both"/>
              <w:rPr>
                <w:sz w:val="20"/>
                <w:szCs w:val="20"/>
                <w:lang w:val="en-GB"/>
              </w:rPr>
            </w:pPr>
            <w:r w:rsidRPr="009F0C77">
              <w:rPr>
                <w:sz w:val="20"/>
                <w:szCs w:val="20"/>
                <w:lang w:val="en-GB"/>
              </w:rPr>
              <w:t xml:space="preserve">Based on results from HCl the sponsored substances are considered corrosive to the skin and eyes. Vinyl chlorosilanes are considered respiratory tract irritants based on data from acute inhalation toxicity studies with HCl and the sponsored substances </w:t>
            </w:r>
          </w:p>
          <w:p w:rsidR="009F0C77" w:rsidRPr="009F0C77" w:rsidRDefault="009F0C77" w:rsidP="009F0C77">
            <w:pPr>
              <w:tabs>
                <w:tab w:val="left" w:pos="851"/>
                <w:tab w:val="left" w:pos="1191"/>
                <w:tab w:val="left" w:pos="1531"/>
              </w:tabs>
              <w:spacing w:after="180"/>
              <w:ind w:leftChars="65" w:left="156" w:rightChars="117" w:right="281"/>
              <w:jc w:val="both"/>
              <w:rPr>
                <w:sz w:val="20"/>
                <w:szCs w:val="20"/>
                <w:lang w:val="en-GB"/>
              </w:rPr>
            </w:pPr>
            <w:r w:rsidRPr="009F0C77">
              <w:rPr>
                <w:sz w:val="20"/>
                <w:szCs w:val="20"/>
                <w:lang w:val="en-GB"/>
              </w:rPr>
              <w:t>No data are available to evaluate the sensitisation of vinyl chlorosilanes.</w:t>
            </w:r>
          </w:p>
          <w:p w:rsidR="009F0C77" w:rsidRPr="009F0C77" w:rsidRDefault="009F0C77" w:rsidP="009F0C77">
            <w:pPr>
              <w:tabs>
                <w:tab w:val="left" w:pos="851"/>
                <w:tab w:val="left" w:pos="1191"/>
                <w:tab w:val="left" w:pos="1531"/>
              </w:tabs>
              <w:spacing w:after="180"/>
              <w:ind w:leftChars="64" w:left="154" w:rightChars="117" w:right="281"/>
              <w:jc w:val="both"/>
              <w:rPr>
                <w:sz w:val="20"/>
                <w:szCs w:val="20"/>
                <w:lang w:val="en-GB"/>
              </w:rPr>
            </w:pPr>
            <w:r w:rsidRPr="009F0C77">
              <w:rPr>
                <w:sz w:val="20"/>
                <w:szCs w:val="20"/>
                <w:lang w:val="en-GB"/>
              </w:rPr>
              <w:t>Data from the supporting substance VTMS and the hydrolysis product HCl are used to fill the repeated-dose toxicity endpoint for the vinyl chlorosilanes. Systemic effects following repeated inhalation of VTMS (exposure likely as a mixture with silanol hydrolysis products) and HCl have been observed. In a repeated-dose toxicity study [TG unknown], rats (20/sex/concentration) were exposed for six hours per day, five days per week, for 14 weeks to vapor of VTMS at concentrations of 0, 0.06, 0.6 or 2.4 mg/L, respectively, resulting in effects primarily on the urinary bladder and kidney. The LOAEC was determined to be 0.6 mg/L and the NOAEC was 0.06 mg/L. During 90-day repeated dose inhalation toxicity studies, local effects of HCl irritation were observed in groups exposed to 0.015 mg/L and above. The NOAEC for systemic toxicity for HCl, excluding the local effects of irritation, has been determined to be 0.030 mg/L for rats and mice. Based on these data, the vinyl chlorosilanes may result in repeated dose inhalation toxicity, with an NOAEC of 0.60 mg/L (HCl) for both category members.</w:t>
            </w:r>
          </w:p>
          <w:p w:rsidR="009F0C77" w:rsidRPr="009F0C77" w:rsidRDefault="009F0C77" w:rsidP="009F0C77">
            <w:pPr>
              <w:tabs>
                <w:tab w:val="left" w:pos="851"/>
                <w:tab w:val="left" w:pos="1191"/>
                <w:tab w:val="left" w:pos="1531"/>
              </w:tabs>
              <w:spacing w:after="180"/>
              <w:ind w:leftChars="64" w:left="154" w:rightChars="117" w:right="281"/>
              <w:jc w:val="both"/>
              <w:rPr>
                <w:sz w:val="20"/>
                <w:szCs w:val="20"/>
                <w:lang w:val="en-GB"/>
              </w:rPr>
            </w:pPr>
            <w:r w:rsidRPr="009F0C77">
              <w:rPr>
                <w:sz w:val="20"/>
                <w:szCs w:val="20"/>
                <w:lang w:val="en-GB"/>
              </w:rPr>
              <w:t>In a combined repeated-dose/reproductive/developmental toxicity screening test [OECD TG 422], male and female rats were administered VTMS via gavage at 62.5, 250 and 1000 mg/kg bw/day for up to 43 days, resulting in effects primarily on the urinary bladder, intestine, kidney, and thymus in both sexes at all doses. The NOAEL was not established in this study. The LOAEL was 62.5 mg/kg bw/day (decreased urine osmolality and sodium, potassium and chloride concentrations (males) and slight decrease in body weight and body weight gain (females)). Similar effects are expected for the vinyl chlorosilane category members. Based on these data, the vinyl chlorosilanes may result in repeated dose oral toxicity, with a LOAEL of 62.5 mg/kg bw (VTMS) for both category members.</w:t>
            </w:r>
          </w:p>
          <w:p w:rsidR="009F0C77" w:rsidRPr="009F0C77" w:rsidRDefault="009F0C77" w:rsidP="009F0C77">
            <w:pPr>
              <w:tabs>
                <w:tab w:val="left" w:pos="851"/>
                <w:tab w:val="left" w:pos="1191"/>
                <w:tab w:val="left" w:pos="1531"/>
              </w:tabs>
              <w:spacing w:after="180"/>
              <w:ind w:left="180" w:right="248"/>
              <w:jc w:val="both"/>
              <w:rPr>
                <w:sz w:val="20"/>
                <w:szCs w:val="20"/>
                <w:lang w:val="en-GB"/>
              </w:rPr>
            </w:pPr>
            <w:r w:rsidRPr="009F0C77">
              <w:rPr>
                <w:b/>
                <w:sz w:val="20"/>
                <w:szCs w:val="20"/>
                <w:lang w:val="en-GB"/>
              </w:rPr>
              <w:t>VTCS</w:t>
            </w:r>
            <w:r w:rsidRPr="009F0C77">
              <w:rPr>
                <w:sz w:val="20"/>
                <w:szCs w:val="20"/>
                <w:lang w:val="en-GB"/>
              </w:rPr>
              <w:t xml:space="preserve"> did not induce gene mutations in two bacterial mutagenicity assays (OECD TG 471). </w:t>
            </w:r>
            <w:r w:rsidRPr="009F0C77">
              <w:rPr>
                <w:b/>
                <w:sz w:val="20"/>
                <w:szCs w:val="20"/>
                <w:lang w:val="en-GB"/>
              </w:rPr>
              <w:t>VDCS</w:t>
            </w:r>
            <w:r w:rsidRPr="009F0C77">
              <w:rPr>
                <w:sz w:val="20"/>
                <w:szCs w:val="20"/>
                <w:lang w:val="en-GB"/>
              </w:rPr>
              <w:t xml:space="preserve"> is considered mutagenic in </w:t>
            </w:r>
            <w:r w:rsidRPr="009F0C77">
              <w:rPr>
                <w:i/>
                <w:sz w:val="20"/>
                <w:szCs w:val="20"/>
                <w:lang w:val="en-GB"/>
              </w:rPr>
              <w:t>Salmonella</w:t>
            </w:r>
            <w:r w:rsidRPr="009F0C77">
              <w:rPr>
                <w:sz w:val="20"/>
                <w:szCs w:val="20"/>
                <w:lang w:val="en-GB"/>
              </w:rPr>
              <w:t xml:space="preserve"> strain TA 1535 in the presence of hamster microsomal enzyme with metabolic activation (reducing conditions) (OECD TG 471) and was negative in the presence and absence of rat liver S9 metabolic activation (OECD TG 471), negative in the mouse lymphoma assay (OECD TG 476) and negative for the induction of chromosome aberrations in mammalian cells (OECD 473). The hydrolysis product, HCl, did not induce gene mutations in bacteria. Positive results in the </w:t>
            </w:r>
            <w:r w:rsidRPr="009F0C77">
              <w:rPr>
                <w:i/>
                <w:sz w:val="20"/>
                <w:szCs w:val="20"/>
                <w:lang w:val="en-GB"/>
              </w:rPr>
              <w:t>in vitro</w:t>
            </w:r>
            <w:r w:rsidRPr="009F0C77">
              <w:rPr>
                <w:sz w:val="20"/>
                <w:szCs w:val="20"/>
                <w:lang w:val="en-GB"/>
              </w:rPr>
              <w:t xml:space="preserve"> chromosome aberration test with HCl were considered to be the effect of low pH. </w:t>
            </w:r>
            <w:r w:rsidRPr="009F0C77">
              <w:rPr>
                <w:b/>
                <w:sz w:val="20"/>
                <w:szCs w:val="20"/>
                <w:lang w:val="en-GB"/>
              </w:rPr>
              <w:t>VTMS</w:t>
            </w:r>
            <w:r w:rsidRPr="009F0C77">
              <w:rPr>
                <w:sz w:val="20"/>
                <w:szCs w:val="20"/>
                <w:lang w:val="en-GB"/>
              </w:rPr>
              <w:t xml:space="preserve"> was negative in a reliable and valid </w:t>
            </w:r>
            <w:r w:rsidRPr="009F0C77">
              <w:rPr>
                <w:i/>
                <w:sz w:val="20"/>
                <w:szCs w:val="20"/>
                <w:lang w:val="en-GB"/>
              </w:rPr>
              <w:t>in vivo</w:t>
            </w:r>
            <w:r w:rsidRPr="009F0C77">
              <w:rPr>
                <w:sz w:val="20"/>
                <w:szCs w:val="20"/>
                <w:lang w:val="en-GB"/>
              </w:rPr>
              <w:t xml:space="preserve"> micronucleus assay (OECD TG 474). </w:t>
            </w:r>
          </w:p>
          <w:p w:rsidR="009F0C77" w:rsidRPr="009F0C77" w:rsidRDefault="009F0C77" w:rsidP="009F0C77">
            <w:pPr>
              <w:tabs>
                <w:tab w:val="left" w:pos="851"/>
                <w:tab w:val="left" w:pos="1191"/>
                <w:tab w:val="left" w:pos="1531"/>
              </w:tabs>
              <w:spacing w:after="180"/>
              <w:ind w:left="180" w:right="248"/>
              <w:jc w:val="both"/>
              <w:rPr>
                <w:sz w:val="20"/>
                <w:szCs w:val="20"/>
                <w:lang w:val="en-GB"/>
              </w:rPr>
            </w:pPr>
            <w:r w:rsidRPr="009F0C77">
              <w:rPr>
                <w:sz w:val="20"/>
                <w:szCs w:val="20"/>
                <w:lang w:val="en-GB"/>
              </w:rPr>
              <w:t>The weight of evidence suggests that the Vinyl Chlorosilanes may not be genotoxic. However, the positive finding in one bacterial strain under reducing conditions leaves a residual uncertainity for gene mutation potential.</w:t>
            </w:r>
          </w:p>
          <w:p w:rsidR="009F0C77" w:rsidRPr="009F0C77" w:rsidRDefault="009F0C77" w:rsidP="009F0C77">
            <w:pPr>
              <w:tabs>
                <w:tab w:val="left" w:pos="851"/>
                <w:tab w:val="left" w:pos="1191"/>
                <w:tab w:val="left" w:pos="1531"/>
              </w:tabs>
              <w:spacing w:after="180"/>
              <w:ind w:leftChars="65" w:left="156" w:rightChars="117" w:right="281"/>
              <w:jc w:val="both"/>
              <w:rPr>
                <w:sz w:val="20"/>
                <w:szCs w:val="20"/>
                <w:lang w:val="en-GB" w:eastAsia="ja-JP"/>
              </w:rPr>
            </w:pPr>
            <w:r w:rsidRPr="009F0C77">
              <w:rPr>
                <w:sz w:val="20"/>
                <w:szCs w:val="20"/>
                <w:lang w:val="en-GB" w:eastAsia="ja-JP"/>
              </w:rPr>
              <w:t xml:space="preserve">No data are available for the carcinogenicity of the vinyl chlorosilanes. </w:t>
            </w:r>
          </w:p>
          <w:p w:rsidR="009F0C77" w:rsidRPr="009F0C77" w:rsidRDefault="009F0C77" w:rsidP="009F0C77">
            <w:pPr>
              <w:tabs>
                <w:tab w:val="left" w:pos="851"/>
                <w:tab w:val="left" w:pos="1191"/>
                <w:tab w:val="left" w:pos="1531"/>
              </w:tabs>
              <w:spacing w:after="180"/>
              <w:ind w:leftChars="65" w:left="156" w:rightChars="117" w:right="281"/>
              <w:jc w:val="both"/>
              <w:rPr>
                <w:sz w:val="20"/>
                <w:szCs w:val="20"/>
                <w:lang w:val="en-GB"/>
              </w:rPr>
            </w:pPr>
            <w:r w:rsidRPr="009F0C77">
              <w:rPr>
                <w:sz w:val="20"/>
                <w:szCs w:val="20"/>
                <w:lang w:val="en-GB"/>
              </w:rPr>
              <w:t xml:space="preserve">No data are available on the reproductive toxicity of the vinyl chlorosilanes; data are available for the supporting substance, VTMS and the hydrolysis product, HCl. In the combined repeated-dose/reproductive/developmental toxicity screening test [OECD TG 422], there were no effects on reproductive performance of parental rats when VTMS was administered by oral gavage. The NOAEL was 1000 mg/kg bw/day for males, and 250 mg/kg bw/day for females (based on a reduced number of estrous cases). There were no effects on developmental parameters; the NOAEL for developmental effects was 1000 mg/kg bw. </w:t>
            </w:r>
          </w:p>
          <w:p w:rsidR="009F0C77" w:rsidRPr="009F0C77" w:rsidRDefault="009F0C77" w:rsidP="009F0C77">
            <w:pPr>
              <w:tabs>
                <w:tab w:val="left" w:pos="851"/>
                <w:tab w:val="left" w:pos="1191"/>
                <w:tab w:val="left" w:pos="1531"/>
              </w:tabs>
              <w:spacing w:after="180"/>
              <w:ind w:leftChars="65" w:left="156" w:rightChars="117" w:right="281"/>
              <w:jc w:val="both"/>
              <w:rPr>
                <w:sz w:val="20"/>
                <w:szCs w:val="20"/>
                <w:lang w:val="en-GB"/>
              </w:rPr>
            </w:pPr>
            <w:r w:rsidRPr="009F0C77">
              <w:rPr>
                <w:sz w:val="20"/>
                <w:szCs w:val="20"/>
                <w:lang w:val="en-GB"/>
              </w:rPr>
              <w:t>Exposure of pregnant rats to VTMS by inhalation including 14 days pre-mating through lactation day 4 resulted in a NOAEC of 0.15 mg/L for maternal toxicity. There was evidence of slightly delayed skeletal ossification in fetuses from the 1.8 mg/L group; the NOAEC for developmental effects was 0.60 mg/L. No reliable studies have been reported regarding toxicity to reproduction and development in animals after oral, dermal or inhalation exposure to hydrogen chloride/hydrochloric acid. Because the proton (H</w:t>
            </w:r>
            <w:r w:rsidRPr="009F0C77">
              <w:rPr>
                <w:sz w:val="20"/>
                <w:szCs w:val="20"/>
                <w:vertAlign w:val="superscript"/>
                <w:lang w:val="en-GB"/>
              </w:rPr>
              <w:t>+</w:t>
            </w:r>
            <w:r w:rsidRPr="009F0C77">
              <w:rPr>
                <w:sz w:val="20"/>
                <w:szCs w:val="20"/>
                <w:lang w:val="en-GB"/>
              </w:rPr>
              <w:t>) and chloride (Cl</w:t>
            </w:r>
            <w:r w:rsidRPr="009F0C77">
              <w:rPr>
                <w:sz w:val="20"/>
                <w:szCs w:val="20"/>
                <w:vertAlign w:val="superscript"/>
                <w:lang w:val="en-GB"/>
              </w:rPr>
              <w:t>-</w:t>
            </w:r>
            <w:r w:rsidRPr="009F0C77">
              <w:rPr>
                <w:sz w:val="20"/>
                <w:szCs w:val="20"/>
                <w:lang w:val="en-GB"/>
              </w:rPr>
              <w:t>) ions are the normal constituents in the body fluid of animal species, lower concentration of hydrogen chloride gas/mist or solution does not seem to cause adverse effects to animals. In fact, the cells of gastric glands secrete hydrochloric acid into the cavity of stomach and orally administered sulfuric acid, which result in pH change as well, did not cause developmental toxicity to laboratory animals. These facts indicate that hydrogen chloride/hydrochloric acid is not expected to have developmental toxicity. In addition, no effects on the gonads were observed in a 90-day inhalation repeated-dose study with HCl</w:t>
            </w:r>
            <w:r w:rsidRPr="009F0C77">
              <w:rPr>
                <w:i/>
                <w:sz w:val="20"/>
                <w:szCs w:val="20"/>
                <w:lang w:val="en-GB"/>
              </w:rPr>
              <w:t xml:space="preserve"> </w:t>
            </w:r>
            <w:r w:rsidRPr="009F0C77">
              <w:rPr>
                <w:sz w:val="20"/>
                <w:szCs w:val="20"/>
                <w:lang w:val="en-GB"/>
              </w:rPr>
              <w:t>up to concentrations of 0.073 mg/L. Based on these data, the vinyl chlorosilanes may result in developmental toxicity at high concentrations in inhalation studies, with a NOAEC of 0.60 mg/L (VTMS) for both category members.</w:t>
            </w:r>
          </w:p>
          <w:p w:rsidR="009F0C77" w:rsidRPr="009F0C77" w:rsidRDefault="009F0C77" w:rsidP="009F0C77">
            <w:pPr>
              <w:tabs>
                <w:tab w:val="left" w:pos="851"/>
                <w:tab w:val="left" w:pos="1191"/>
                <w:tab w:val="left" w:pos="1531"/>
              </w:tabs>
              <w:spacing w:after="180"/>
              <w:ind w:leftChars="65" w:left="156" w:rightChars="117" w:right="281"/>
              <w:jc w:val="both"/>
              <w:rPr>
                <w:b/>
                <w:sz w:val="20"/>
                <w:szCs w:val="20"/>
                <w:lang w:val="en-GB" w:eastAsia="ja-JP"/>
              </w:rPr>
            </w:pPr>
            <w:r w:rsidRPr="009F0C77">
              <w:rPr>
                <w:b/>
                <w:sz w:val="20"/>
                <w:szCs w:val="20"/>
                <w:lang w:val="en-GB" w:eastAsia="ja-JP"/>
              </w:rPr>
              <w:t xml:space="preserve">The vinyl chlorosilanes possess properties indicating a hazard for human health (lethality from acute studies (inhalation, oral, and dermal); corrosivity and severe irritation to the skin, eyes, respiratory tract, and GI tract; repeated dose toxicity, potential </w:t>
            </w:r>
            <w:r w:rsidRPr="009F0C77">
              <w:rPr>
                <w:b/>
                <w:i/>
                <w:sz w:val="20"/>
                <w:szCs w:val="20"/>
                <w:lang w:val="en-GB" w:eastAsia="ja-JP"/>
              </w:rPr>
              <w:t>in vitro</w:t>
            </w:r>
            <w:r w:rsidRPr="009F0C77">
              <w:rPr>
                <w:b/>
                <w:sz w:val="20"/>
                <w:szCs w:val="20"/>
                <w:lang w:val="en-GB" w:eastAsia="ja-JP"/>
              </w:rPr>
              <w:t xml:space="preserve"> gene mutation; developmental toxicity (only at high concentrations via inhalation at maternally toxic concentrations). Adequate screening-level data are available to characterize the human health hazard for the purposes of the OECD Cooperative Chemicals Assessment Programme.</w:t>
            </w:r>
          </w:p>
          <w:p w:rsidR="009F0C77" w:rsidRPr="009F0C77" w:rsidRDefault="009F0C77" w:rsidP="009F0C77">
            <w:pPr>
              <w:tabs>
                <w:tab w:val="left" w:pos="851"/>
                <w:tab w:val="left" w:pos="1191"/>
                <w:tab w:val="left" w:pos="1531"/>
              </w:tabs>
              <w:spacing w:after="180"/>
              <w:ind w:leftChars="64" w:left="154" w:right="284"/>
              <w:jc w:val="both"/>
              <w:rPr>
                <w:b/>
                <w:spacing w:val="-2"/>
                <w:sz w:val="20"/>
                <w:szCs w:val="20"/>
                <w:lang w:val="en-GB"/>
              </w:rPr>
            </w:pPr>
            <w:r w:rsidRPr="009F0C77">
              <w:rPr>
                <w:b/>
                <w:spacing w:val="-2"/>
                <w:sz w:val="20"/>
                <w:szCs w:val="20"/>
                <w:lang w:val="en-GB"/>
              </w:rPr>
              <w:t>Environment</w:t>
            </w:r>
          </w:p>
          <w:p w:rsidR="009F0C77" w:rsidRPr="009F0C77" w:rsidRDefault="009F0C77" w:rsidP="009F0C77">
            <w:pPr>
              <w:tabs>
                <w:tab w:val="left" w:pos="851"/>
                <w:tab w:val="left" w:pos="1191"/>
                <w:tab w:val="left" w:pos="1531"/>
              </w:tabs>
              <w:spacing w:after="180"/>
              <w:ind w:leftChars="64" w:left="154" w:rightChars="154" w:right="370"/>
              <w:jc w:val="both"/>
              <w:rPr>
                <w:sz w:val="20"/>
                <w:szCs w:val="20"/>
                <w:lang w:val="en-GB"/>
              </w:rPr>
            </w:pPr>
            <w:r w:rsidRPr="009F0C77">
              <w:rPr>
                <w:sz w:val="20"/>
                <w:szCs w:val="20"/>
                <w:lang w:val="en-GB"/>
              </w:rPr>
              <w:t xml:space="preserve">Not all programs within EPI Suite have been validated for chemicals that contain the element Si, but recent upgrades to the Kow module, found in the current version of EPI Suite (v4.10), may improve estimates for silanes and siloxanes for this endpoint. However, there is still uncertainty associated with the calculated values and they should be used with caution whenever they are reported. </w:t>
            </w:r>
          </w:p>
          <w:p w:rsidR="009F0C77" w:rsidRPr="009F0C77" w:rsidRDefault="009F0C77" w:rsidP="009F0C77">
            <w:pPr>
              <w:tabs>
                <w:tab w:val="left" w:pos="851"/>
                <w:tab w:val="left" w:pos="1191"/>
                <w:tab w:val="left" w:pos="1531"/>
              </w:tabs>
              <w:spacing w:after="180"/>
              <w:ind w:leftChars="64" w:left="154" w:rightChars="154" w:right="370"/>
              <w:jc w:val="both"/>
              <w:rPr>
                <w:i/>
                <w:sz w:val="20"/>
                <w:szCs w:val="20"/>
                <w:lang w:val="en-GB"/>
              </w:rPr>
            </w:pPr>
            <w:r w:rsidRPr="009F0C77">
              <w:rPr>
                <w:sz w:val="20"/>
                <w:szCs w:val="20"/>
                <w:lang w:val="en-GB"/>
              </w:rPr>
              <w:t>The chlorine group is the most active functional group of these molecules and determines many aspects of the behaviour of the category members. The vinyl chlorosilanes are expected to undergo rapid hydrolysis in the presence of water to form two or three moles of HCl and one mole of silanediol or silanetriol, depending on the parent substance. Hydrolysis is the primary reaction in aqueous systems. Hydrolysis studies were not conducted on the vinyl chlorosilanes</w:t>
            </w:r>
            <w:r w:rsidRPr="009F0C77">
              <w:rPr>
                <w:i/>
                <w:sz w:val="20"/>
                <w:szCs w:val="20"/>
                <w:lang w:val="en-GB"/>
              </w:rPr>
              <w:t>.</w:t>
            </w:r>
            <w:r w:rsidRPr="009F0C77">
              <w:rPr>
                <w:sz w:val="20"/>
                <w:szCs w:val="20"/>
                <w:lang w:val="en-GB"/>
              </w:rPr>
              <w:t xml:space="preserve"> The vinyl chlorosilanes hydrolyze rapidly; the half-lives are expected to be &lt;1 minute based on data from two analogous substances, DMDCS and MTCS. Observed rates of hydrolysis were so rapid that it was not possible to distinguish among the different pH conditions.</w:t>
            </w:r>
          </w:p>
          <w:p w:rsidR="009F0C77" w:rsidRPr="009F0C77" w:rsidRDefault="009F0C77" w:rsidP="009F0C77">
            <w:pPr>
              <w:tabs>
                <w:tab w:val="left" w:pos="851"/>
                <w:tab w:val="left" w:pos="1191"/>
                <w:tab w:val="left" w:pos="1531"/>
              </w:tabs>
              <w:spacing w:after="180"/>
              <w:ind w:leftChars="64" w:left="154" w:rightChars="154" w:right="370"/>
              <w:jc w:val="both"/>
              <w:rPr>
                <w:sz w:val="20"/>
                <w:szCs w:val="20"/>
                <w:lang w:val="en-GB"/>
              </w:rPr>
            </w:pPr>
            <w:r w:rsidRPr="009F0C77">
              <w:rPr>
                <w:sz w:val="20"/>
                <w:szCs w:val="20"/>
                <w:lang w:val="en-GB"/>
              </w:rPr>
              <w:t>The overall rate constants for reaction with OH radicals in the atmosphere for the vinyl chlorosilanes and resulting half-lives due to indirect photolysis are ca. 26 x 10</w:t>
            </w:r>
            <w:r w:rsidRPr="009F0C77">
              <w:rPr>
                <w:sz w:val="20"/>
                <w:szCs w:val="20"/>
                <w:vertAlign w:val="superscript"/>
                <w:lang w:val="en-GB"/>
              </w:rPr>
              <w:t>12</w:t>
            </w:r>
            <w:r w:rsidRPr="009F0C77">
              <w:rPr>
                <w:sz w:val="20"/>
                <w:szCs w:val="20"/>
                <w:lang w:val="en-GB"/>
              </w:rPr>
              <w:t xml:space="preserve"> cm</w:t>
            </w:r>
            <w:r w:rsidRPr="009F0C77">
              <w:rPr>
                <w:sz w:val="20"/>
                <w:szCs w:val="20"/>
                <w:vertAlign w:val="superscript"/>
                <w:lang w:val="en-GB"/>
              </w:rPr>
              <w:t>3</w:t>
            </w:r>
            <w:r w:rsidRPr="009F0C77">
              <w:rPr>
                <w:sz w:val="20"/>
                <w:szCs w:val="20"/>
                <w:lang w:val="en-GB"/>
              </w:rPr>
              <w:t xml:space="preserve">/molecule-sec and 5 hours for the category members. Any potential for photodegradation might be superseded by hydrolysis of the parent compound depending on the concentration of water vapor in the air. The sponsored substance, </w:t>
            </w:r>
            <w:r w:rsidRPr="009F0C77">
              <w:rPr>
                <w:b/>
                <w:sz w:val="20"/>
                <w:szCs w:val="20"/>
                <w:lang w:val="en-GB"/>
              </w:rPr>
              <w:t>VDCS</w:t>
            </w:r>
            <w:r w:rsidRPr="009F0C77">
              <w:rPr>
                <w:sz w:val="20"/>
                <w:szCs w:val="20"/>
                <w:lang w:val="en-GB"/>
              </w:rPr>
              <w:t xml:space="preserve">, was not readily biodegradable in an OECD TG 301A test and the supporting substance VTMS was not readily biodegradable in an OECD TG 301F test. Based on this information, the sponsored substance, </w:t>
            </w:r>
            <w:r w:rsidRPr="009F0C77">
              <w:rPr>
                <w:b/>
                <w:sz w:val="20"/>
                <w:szCs w:val="20"/>
                <w:lang w:val="en-GB"/>
              </w:rPr>
              <w:t>VTCS</w:t>
            </w:r>
            <w:r w:rsidRPr="009F0C77">
              <w:rPr>
                <w:sz w:val="20"/>
                <w:szCs w:val="20"/>
                <w:lang w:val="en-GB"/>
              </w:rPr>
              <w:t>, is not expected to be readily biodegradable. Due to rapid hydrolysis of the sponsored and supporting substances, any potential for biodegradation is likely to be of the hydrolysis products. Consequently, the only biodegradable materials in the test system will be silanols, and condensed silanol materials (high molecular weight polymers). At high concentrations, the silanols will condense to form highly cross-linked, high molecular weight polymers that are water insoluble and effectively nonbiodegradable.</w:t>
            </w:r>
          </w:p>
          <w:p w:rsidR="009F0C77" w:rsidRPr="009F0C77" w:rsidRDefault="009F0C77" w:rsidP="009F0C77">
            <w:pPr>
              <w:tabs>
                <w:tab w:val="left" w:pos="851"/>
                <w:tab w:val="left" w:pos="1191"/>
                <w:tab w:val="left" w:pos="1531"/>
              </w:tabs>
              <w:spacing w:after="180"/>
              <w:ind w:leftChars="63" w:left="151" w:rightChars="154" w:right="370"/>
              <w:jc w:val="both"/>
              <w:rPr>
                <w:sz w:val="20"/>
                <w:szCs w:val="20"/>
                <w:lang w:val="en-GB"/>
              </w:rPr>
            </w:pPr>
            <w:r w:rsidRPr="009F0C77">
              <w:rPr>
                <w:sz w:val="20"/>
                <w:szCs w:val="20"/>
                <w:lang w:val="en-GB"/>
              </w:rPr>
              <w:t xml:space="preserve">A level III fugacity model calculation with equal and continuous distributions to air, water and soil compartments suggests that the vinyl chlorosilanes will distribute mainly to the air (ca. 48 %) and soil (ca. 47%) compartments, with minor distribution to water (ca. 5%) and negligible distribution to sediments (&lt;0.1). Since the parent materials are not expected to be released to soil or water based on their uses and handling, a scenario of 100% emission to air is more realistic. When the vinyl chlorosilanes are released to air exclusively, the fugacity model predicts that 99.8% is reacted. The unreacted 0.2% remains in air (100%). The modeling results show that the environmental fate of the vinyl chlorosilanes is controlled by their high reactivity with water in all compartments. Level III fugacity modeling using equal loading rates of 1000 kg/h each for air, soil and water predicts that the hydrolysis products will distribute mainly to soil (c. 70-80 %), with a smaller fraction to water (ca. 20-27 %) and negligible amounts to sediment and air. Based on the more realistic scenario of 100% release to air, the model predicts that vinylmethylsilanediol and vinylsilanetriol will be distributed mainly in soil (ca. 93%) and water (ca. 7%).  Fugacity modeling of HCl is not applicable. The calculated Henry’s law constants for both vinyl chlorosilanes are not applicable due to their rapid hydrolysis.  </w:t>
            </w:r>
          </w:p>
          <w:p w:rsidR="009F0C77" w:rsidRPr="009F0C77" w:rsidRDefault="009F0C77" w:rsidP="009F0C77">
            <w:pPr>
              <w:tabs>
                <w:tab w:val="left" w:pos="851"/>
                <w:tab w:val="left" w:pos="1191"/>
                <w:tab w:val="left" w:pos="1531"/>
              </w:tabs>
              <w:spacing w:after="180"/>
              <w:ind w:leftChars="63" w:left="151" w:rightChars="93" w:right="223"/>
              <w:jc w:val="both"/>
              <w:rPr>
                <w:sz w:val="20"/>
                <w:szCs w:val="20"/>
                <w:lang w:val="en-GB"/>
              </w:rPr>
            </w:pPr>
            <w:r w:rsidRPr="009F0C77">
              <w:rPr>
                <w:sz w:val="20"/>
                <w:szCs w:val="20"/>
                <w:lang w:val="en-GB"/>
              </w:rPr>
              <w:t xml:space="preserve">The bioaccumulation potential of the vinyl chlorosilanes was not measured due to rapid hydrolysis. The estimated BCFs using the BCFBAF Program (v3.01) are 16.8 L/kg wet-wt for </w:t>
            </w:r>
            <w:r w:rsidRPr="009F0C77">
              <w:rPr>
                <w:b/>
                <w:sz w:val="20"/>
                <w:szCs w:val="20"/>
                <w:lang w:val="en-GB"/>
              </w:rPr>
              <w:t>VTCS</w:t>
            </w:r>
            <w:r w:rsidRPr="009F0C77">
              <w:rPr>
                <w:sz w:val="20"/>
                <w:szCs w:val="20"/>
                <w:lang w:val="en-GB"/>
              </w:rPr>
              <w:t xml:space="preserve"> and 24.1 L/kg wet-wt for </w:t>
            </w:r>
            <w:r w:rsidRPr="009F0C77">
              <w:rPr>
                <w:b/>
                <w:sz w:val="20"/>
                <w:szCs w:val="20"/>
                <w:lang w:val="en-GB"/>
              </w:rPr>
              <w:t>VDCS</w:t>
            </w:r>
            <w:r w:rsidRPr="009F0C77">
              <w:rPr>
                <w:sz w:val="20"/>
                <w:szCs w:val="20"/>
                <w:lang w:val="en-GB"/>
              </w:rPr>
              <w:t xml:space="preserve">, indicating the vinyl chlorosilanes are not expected to bioaccumulate.  For both the hydrolysis products, the estimated BCF is 3.2 L/kg wet-wt. </w:t>
            </w:r>
          </w:p>
          <w:p w:rsidR="009F0C77" w:rsidRPr="009F0C77" w:rsidRDefault="009F0C77" w:rsidP="009F0C77">
            <w:pPr>
              <w:tabs>
                <w:tab w:val="left" w:pos="851"/>
                <w:tab w:val="left" w:pos="1191"/>
                <w:tab w:val="left" w:pos="1531"/>
                <w:tab w:val="left" w:pos="3379"/>
                <w:tab w:val="left" w:pos="6544"/>
              </w:tabs>
              <w:spacing w:after="180"/>
              <w:ind w:left="139" w:right="205"/>
              <w:jc w:val="both"/>
              <w:rPr>
                <w:sz w:val="20"/>
                <w:szCs w:val="20"/>
                <w:lang w:val="en-GB"/>
              </w:rPr>
            </w:pPr>
            <w:r w:rsidRPr="009F0C77">
              <w:rPr>
                <w:sz w:val="20"/>
                <w:szCs w:val="20"/>
                <w:lang w:val="en-GB"/>
              </w:rPr>
              <w:t xml:space="preserve">Acute aquatic toxicity data are not available for vinyl chlorosilanes. The vinyl chlorosilanes undergo rapid hydrolysis, which would occur during testing; therefore, exposure to parent chlorosilane is likely to be transient and observed toxicity would likely be due to its hydrolysis products, HCl and the respective silanol hydrolysis products. Data are available for the supporting substance, VTMS and the silanol, DMSD. </w:t>
            </w:r>
          </w:p>
          <w:p w:rsidR="009F0C77" w:rsidRPr="009F0C77" w:rsidRDefault="009F0C77" w:rsidP="009F0C77">
            <w:pPr>
              <w:tabs>
                <w:tab w:val="left" w:pos="851"/>
                <w:tab w:val="left" w:pos="1191"/>
                <w:tab w:val="left" w:pos="1531"/>
                <w:tab w:val="left" w:pos="3379"/>
                <w:tab w:val="left" w:pos="6544"/>
              </w:tabs>
              <w:spacing w:after="180"/>
              <w:ind w:left="139" w:right="205"/>
              <w:jc w:val="both"/>
              <w:rPr>
                <w:sz w:val="20"/>
                <w:szCs w:val="20"/>
                <w:lang w:val="en-GB"/>
              </w:rPr>
            </w:pPr>
            <w:r w:rsidRPr="009F0C77">
              <w:rPr>
                <w:sz w:val="20"/>
                <w:szCs w:val="20"/>
                <w:lang w:val="en-GB"/>
              </w:rPr>
              <w:t>Fish</w:t>
            </w:r>
          </w:p>
          <w:p w:rsidR="009F0C77" w:rsidRPr="009F0C77" w:rsidRDefault="009F0C77" w:rsidP="009F0C77">
            <w:pPr>
              <w:tabs>
                <w:tab w:val="left" w:pos="851"/>
                <w:tab w:val="left" w:pos="1191"/>
                <w:tab w:val="left" w:pos="1531"/>
                <w:tab w:val="left" w:pos="3686"/>
                <w:tab w:val="left" w:pos="6544"/>
              </w:tabs>
              <w:spacing w:after="180"/>
              <w:ind w:left="3686" w:right="205" w:hanging="3547"/>
              <w:jc w:val="both"/>
              <w:rPr>
                <w:sz w:val="20"/>
                <w:szCs w:val="20"/>
                <w:lang w:val="en-GB"/>
              </w:rPr>
            </w:pPr>
            <w:r w:rsidRPr="009F0C77">
              <w:rPr>
                <w:sz w:val="20"/>
                <w:szCs w:val="20"/>
                <w:lang w:val="en-GB"/>
              </w:rPr>
              <w:t>VTMS [</w:t>
            </w:r>
            <w:r w:rsidRPr="009F0C77">
              <w:rPr>
                <w:i/>
                <w:sz w:val="20"/>
                <w:szCs w:val="20"/>
                <w:lang w:val="en-GB"/>
              </w:rPr>
              <w:t>Brachydanio rerio</w:t>
            </w:r>
            <w:r w:rsidRPr="009F0C77">
              <w:rPr>
                <w:sz w:val="20"/>
                <w:szCs w:val="20"/>
                <w:lang w:val="en-GB"/>
              </w:rPr>
              <w:t>]</w:t>
            </w:r>
            <w:r w:rsidRPr="009F0C77">
              <w:rPr>
                <w:sz w:val="20"/>
                <w:szCs w:val="20"/>
                <w:lang w:val="en-GB"/>
              </w:rPr>
              <w:tab/>
              <w:t>96 h LC50 &gt;100 mg/L (nominal) [static]</w:t>
            </w:r>
          </w:p>
          <w:p w:rsidR="009F0C77" w:rsidRPr="009F0C77" w:rsidRDefault="009F0C77" w:rsidP="009F0C77">
            <w:pPr>
              <w:tabs>
                <w:tab w:val="left" w:pos="851"/>
                <w:tab w:val="left" w:pos="1191"/>
                <w:tab w:val="left" w:pos="1531"/>
                <w:tab w:val="left" w:pos="3686"/>
                <w:tab w:val="left" w:pos="6544"/>
              </w:tabs>
              <w:spacing w:after="180"/>
              <w:ind w:left="3686" w:right="205" w:hanging="3547"/>
              <w:jc w:val="both"/>
              <w:rPr>
                <w:sz w:val="20"/>
                <w:szCs w:val="20"/>
                <w:lang w:val="en-GB"/>
              </w:rPr>
            </w:pPr>
            <w:r w:rsidRPr="009F0C77">
              <w:rPr>
                <w:sz w:val="20"/>
                <w:szCs w:val="20"/>
                <w:lang w:val="en-GB"/>
              </w:rPr>
              <w:t>DMSD [</w:t>
            </w:r>
            <w:r w:rsidRPr="009F0C77">
              <w:rPr>
                <w:i/>
                <w:sz w:val="20"/>
                <w:szCs w:val="20"/>
                <w:lang w:val="en-GB"/>
              </w:rPr>
              <w:t>Oncorhynchus mykiss</w:t>
            </w:r>
            <w:r w:rsidRPr="009F0C77">
              <w:rPr>
                <w:sz w:val="20"/>
                <w:szCs w:val="20"/>
                <w:lang w:val="en-GB"/>
              </w:rPr>
              <w:t>]</w:t>
            </w:r>
            <w:r w:rsidRPr="009F0C77">
              <w:rPr>
                <w:sz w:val="20"/>
                <w:szCs w:val="20"/>
                <w:lang w:val="en-GB"/>
              </w:rPr>
              <w:tab/>
              <w:t>96 h LC50 &gt;120 mg/L (measured) [static]</w:t>
            </w:r>
          </w:p>
          <w:p w:rsidR="009F0C77" w:rsidRPr="009F0C77" w:rsidRDefault="009F0C77" w:rsidP="009F0C77">
            <w:pPr>
              <w:tabs>
                <w:tab w:val="left" w:pos="851"/>
                <w:tab w:val="left" w:pos="1191"/>
                <w:tab w:val="left" w:pos="1531"/>
                <w:tab w:val="left" w:pos="3686"/>
                <w:tab w:val="left" w:pos="6544"/>
              </w:tabs>
              <w:spacing w:after="180"/>
              <w:ind w:left="3686" w:right="205" w:hanging="3547"/>
              <w:jc w:val="both"/>
              <w:rPr>
                <w:sz w:val="20"/>
                <w:szCs w:val="20"/>
                <w:lang w:val="en-GB"/>
              </w:rPr>
            </w:pPr>
            <w:r w:rsidRPr="009F0C77">
              <w:rPr>
                <w:sz w:val="20"/>
                <w:szCs w:val="20"/>
                <w:lang w:val="en-GB"/>
              </w:rPr>
              <w:t>HCl [</w:t>
            </w:r>
            <w:r w:rsidRPr="009F0C77">
              <w:rPr>
                <w:i/>
                <w:sz w:val="20"/>
                <w:szCs w:val="20"/>
                <w:lang w:val="en-GB"/>
              </w:rPr>
              <w:t>Cyprinus carpio</w:t>
            </w:r>
            <w:r w:rsidRPr="009F0C77">
              <w:rPr>
                <w:sz w:val="20"/>
                <w:szCs w:val="20"/>
                <w:lang w:val="en-GB"/>
              </w:rPr>
              <w:t>]</w:t>
            </w:r>
            <w:r w:rsidRPr="009F0C77">
              <w:rPr>
                <w:sz w:val="20"/>
                <w:szCs w:val="20"/>
                <w:lang w:val="en-GB"/>
              </w:rPr>
              <w:tab/>
              <w:t>96 h LC50 = 4.92 mg/L (pH 4.3) (measured; pH) [semi-static]</w:t>
            </w:r>
          </w:p>
          <w:p w:rsidR="009F0C77" w:rsidRPr="009F0C77" w:rsidRDefault="009F0C77" w:rsidP="009F0C77">
            <w:pPr>
              <w:tabs>
                <w:tab w:val="left" w:pos="851"/>
                <w:tab w:val="left" w:pos="1191"/>
                <w:tab w:val="left" w:pos="1531"/>
                <w:tab w:val="left" w:pos="3686"/>
                <w:tab w:val="left" w:pos="6544"/>
              </w:tabs>
              <w:spacing w:before="240" w:after="180"/>
              <w:ind w:left="3686" w:right="205" w:hanging="3547"/>
              <w:jc w:val="both"/>
              <w:rPr>
                <w:sz w:val="20"/>
                <w:szCs w:val="20"/>
                <w:lang w:val="en-GB"/>
              </w:rPr>
            </w:pPr>
            <w:r w:rsidRPr="009F0C77">
              <w:rPr>
                <w:sz w:val="20"/>
                <w:szCs w:val="20"/>
                <w:lang w:val="en-GB"/>
              </w:rPr>
              <w:t xml:space="preserve">Invertebrate </w:t>
            </w:r>
          </w:p>
          <w:p w:rsidR="009F0C77" w:rsidRPr="009F0C77" w:rsidRDefault="009F0C77" w:rsidP="009F0C77">
            <w:pPr>
              <w:tabs>
                <w:tab w:val="left" w:pos="851"/>
                <w:tab w:val="left" w:pos="1191"/>
                <w:tab w:val="left" w:pos="1531"/>
                <w:tab w:val="left" w:pos="3686"/>
                <w:tab w:val="left" w:pos="6544"/>
              </w:tabs>
              <w:spacing w:after="180"/>
              <w:ind w:left="3686" w:right="205" w:hanging="3547"/>
              <w:jc w:val="both"/>
              <w:rPr>
                <w:sz w:val="20"/>
                <w:szCs w:val="20"/>
                <w:lang w:val="en-GB"/>
              </w:rPr>
            </w:pPr>
            <w:r w:rsidRPr="009F0C77">
              <w:rPr>
                <w:sz w:val="20"/>
                <w:szCs w:val="20"/>
                <w:lang w:val="en-GB"/>
              </w:rPr>
              <w:t>VTMS [</w:t>
            </w:r>
            <w:r w:rsidRPr="009F0C77">
              <w:rPr>
                <w:i/>
                <w:sz w:val="20"/>
                <w:szCs w:val="20"/>
                <w:lang w:val="en-GB"/>
              </w:rPr>
              <w:t>Daphnia magna</w:t>
            </w:r>
            <w:r w:rsidRPr="009F0C77">
              <w:rPr>
                <w:sz w:val="20"/>
                <w:szCs w:val="20"/>
                <w:lang w:val="en-GB"/>
              </w:rPr>
              <w:t>]</w:t>
            </w:r>
            <w:r w:rsidRPr="009F0C77">
              <w:rPr>
                <w:sz w:val="20"/>
                <w:szCs w:val="20"/>
                <w:lang w:val="en-GB"/>
              </w:rPr>
              <w:tab/>
              <w:t>48 h EC50 = 168.7 mg/L (nominal) [static]</w:t>
            </w:r>
          </w:p>
          <w:p w:rsidR="009F0C77" w:rsidRPr="009F0C77" w:rsidRDefault="009F0C77" w:rsidP="009F0C77">
            <w:pPr>
              <w:tabs>
                <w:tab w:val="left" w:pos="851"/>
                <w:tab w:val="left" w:pos="1191"/>
                <w:tab w:val="left" w:pos="1531"/>
                <w:tab w:val="left" w:pos="3686"/>
                <w:tab w:val="left" w:pos="6544"/>
              </w:tabs>
              <w:spacing w:after="180"/>
              <w:ind w:left="3686" w:right="205" w:hanging="3547"/>
              <w:jc w:val="both"/>
              <w:rPr>
                <w:sz w:val="20"/>
                <w:szCs w:val="20"/>
                <w:lang w:val="en-GB"/>
              </w:rPr>
            </w:pPr>
            <w:r w:rsidRPr="009F0C77">
              <w:rPr>
                <w:sz w:val="20"/>
                <w:szCs w:val="20"/>
                <w:lang w:val="en-GB"/>
              </w:rPr>
              <w:t>DMSD [</w:t>
            </w:r>
            <w:r w:rsidRPr="009F0C77">
              <w:rPr>
                <w:i/>
                <w:sz w:val="20"/>
                <w:szCs w:val="20"/>
                <w:lang w:val="en-GB"/>
              </w:rPr>
              <w:t>Daphnia magna</w:t>
            </w:r>
            <w:r w:rsidRPr="009F0C77">
              <w:rPr>
                <w:sz w:val="20"/>
                <w:szCs w:val="20"/>
                <w:lang w:val="en-GB"/>
              </w:rPr>
              <w:t>]</w:t>
            </w:r>
            <w:r w:rsidRPr="009F0C77">
              <w:rPr>
                <w:sz w:val="20"/>
                <w:szCs w:val="20"/>
                <w:lang w:val="en-GB"/>
              </w:rPr>
              <w:tab/>
              <w:t>48 h EC50 &gt;117 mg/L (measured) [static]</w:t>
            </w:r>
          </w:p>
          <w:p w:rsidR="009F0C77" w:rsidRPr="009F0C77" w:rsidRDefault="009F0C77" w:rsidP="009F0C77">
            <w:pPr>
              <w:tabs>
                <w:tab w:val="left" w:pos="851"/>
                <w:tab w:val="left" w:pos="1191"/>
                <w:tab w:val="left" w:pos="1531"/>
                <w:tab w:val="left" w:pos="3686"/>
                <w:tab w:val="left" w:pos="6544"/>
              </w:tabs>
              <w:spacing w:after="180"/>
              <w:ind w:left="3686" w:right="205" w:hanging="3547"/>
              <w:jc w:val="both"/>
              <w:rPr>
                <w:sz w:val="20"/>
                <w:szCs w:val="20"/>
                <w:lang w:val="en-GB"/>
              </w:rPr>
            </w:pPr>
            <w:r w:rsidRPr="009F0C77">
              <w:rPr>
                <w:sz w:val="20"/>
                <w:szCs w:val="20"/>
                <w:lang w:val="en-GB"/>
              </w:rPr>
              <w:t>HCl [</w:t>
            </w:r>
            <w:r w:rsidRPr="009F0C77">
              <w:rPr>
                <w:i/>
                <w:sz w:val="20"/>
                <w:szCs w:val="20"/>
                <w:lang w:val="en-GB"/>
              </w:rPr>
              <w:t>Daphnia magna</w:t>
            </w:r>
            <w:r w:rsidRPr="009F0C77">
              <w:rPr>
                <w:sz w:val="20"/>
                <w:szCs w:val="20"/>
                <w:lang w:val="en-GB"/>
              </w:rPr>
              <w:t>]</w:t>
            </w:r>
            <w:r w:rsidRPr="009F0C77">
              <w:rPr>
                <w:sz w:val="20"/>
                <w:szCs w:val="20"/>
                <w:lang w:val="en-GB"/>
              </w:rPr>
              <w:tab/>
              <w:t>48 h EC50 = 0.492 mg/L (pH 5.3) (measured; pH) [semi-static]</w:t>
            </w:r>
          </w:p>
          <w:p w:rsidR="009F0C77" w:rsidRPr="009F0C77" w:rsidRDefault="009F0C77" w:rsidP="009F0C77">
            <w:pPr>
              <w:tabs>
                <w:tab w:val="left" w:pos="851"/>
                <w:tab w:val="left" w:pos="1191"/>
                <w:tab w:val="left" w:pos="1531"/>
                <w:tab w:val="left" w:pos="3686"/>
                <w:tab w:val="left" w:pos="6544"/>
              </w:tabs>
              <w:spacing w:after="180"/>
              <w:ind w:left="3686" w:right="205" w:hanging="3547"/>
              <w:jc w:val="both"/>
              <w:rPr>
                <w:sz w:val="20"/>
                <w:szCs w:val="20"/>
                <w:lang w:val="en-GB"/>
              </w:rPr>
            </w:pPr>
            <w:r w:rsidRPr="009F0C77">
              <w:rPr>
                <w:sz w:val="20"/>
                <w:szCs w:val="20"/>
                <w:lang w:val="en-GB"/>
              </w:rPr>
              <w:t xml:space="preserve">Algae </w:t>
            </w:r>
          </w:p>
          <w:p w:rsidR="009F0C77" w:rsidRPr="009F0C77" w:rsidRDefault="009F0C77" w:rsidP="009F0C77">
            <w:pPr>
              <w:tabs>
                <w:tab w:val="left" w:pos="851"/>
                <w:tab w:val="left" w:pos="1191"/>
                <w:tab w:val="left" w:pos="1531"/>
                <w:tab w:val="left" w:pos="3686"/>
                <w:tab w:val="left" w:pos="6544"/>
              </w:tabs>
              <w:spacing w:after="180"/>
              <w:ind w:left="3686" w:right="205" w:hanging="3547"/>
              <w:jc w:val="both"/>
              <w:rPr>
                <w:sz w:val="20"/>
                <w:szCs w:val="20"/>
                <w:lang w:val="en-GB"/>
              </w:rPr>
            </w:pPr>
            <w:r w:rsidRPr="009F0C77">
              <w:rPr>
                <w:sz w:val="20"/>
                <w:szCs w:val="20"/>
                <w:lang w:val="en-GB"/>
              </w:rPr>
              <w:t>VTMS [</w:t>
            </w:r>
            <w:r w:rsidRPr="009F0C77">
              <w:rPr>
                <w:i/>
                <w:sz w:val="20"/>
                <w:szCs w:val="20"/>
                <w:lang w:val="en-GB"/>
              </w:rPr>
              <w:t>Scenedesmus subspicatus</w:t>
            </w:r>
            <w:r w:rsidRPr="009F0C77">
              <w:rPr>
                <w:sz w:val="20"/>
                <w:szCs w:val="20"/>
                <w:lang w:val="en-GB"/>
              </w:rPr>
              <w:t>]</w:t>
            </w:r>
            <w:r w:rsidRPr="009F0C77">
              <w:rPr>
                <w:sz w:val="20"/>
                <w:szCs w:val="20"/>
                <w:lang w:val="en-GB"/>
              </w:rPr>
              <w:tab/>
              <w:t>72 h ErC50; EbC50 &gt;100 mg/L (nominal)</w:t>
            </w:r>
          </w:p>
          <w:p w:rsidR="009F0C77" w:rsidRPr="009F0C77" w:rsidRDefault="009F0C77" w:rsidP="009F0C77">
            <w:pPr>
              <w:tabs>
                <w:tab w:val="left" w:pos="851"/>
                <w:tab w:val="left" w:pos="1191"/>
                <w:tab w:val="left" w:pos="1531"/>
                <w:tab w:val="left" w:pos="3686"/>
                <w:tab w:val="left" w:pos="6544"/>
              </w:tabs>
              <w:spacing w:after="180"/>
              <w:ind w:left="3686" w:right="205" w:hanging="3547"/>
              <w:jc w:val="both"/>
              <w:rPr>
                <w:sz w:val="20"/>
                <w:szCs w:val="20"/>
                <w:lang w:val="en-GB"/>
              </w:rPr>
            </w:pPr>
            <w:r w:rsidRPr="009F0C77">
              <w:rPr>
                <w:sz w:val="20"/>
                <w:szCs w:val="20"/>
                <w:lang w:val="en-GB"/>
              </w:rPr>
              <w:t>DMSD [</w:t>
            </w:r>
            <w:r w:rsidRPr="009F0C77">
              <w:rPr>
                <w:i/>
                <w:sz w:val="20"/>
                <w:szCs w:val="20"/>
                <w:lang w:val="en-GB"/>
              </w:rPr>
              <w:t>Pseudokirchneriella subcapitata</w:t>
            </w:r>
            <w:r w:rsidRPr="009F0C77">
              <w:rPr>
                <w:sz w:val="20"/>
                <w:szCs w:val="20"/>
                <w:lang w:val="en-GB"/>
              </w:rPr>
              <w:t>]</w:t>
            </w:r>
            <w:r w:rsidRPr="009F0C77">
              <w:rPr>
                <w:sz w:val="20"/>
                <w:szCs w:val="20"/>
                <w:lang w:val="en-GB"/>
              </w:rPr>
              <w:tab/>
              <w:t>72 h ErC50, EbC50 &gt; 118 mg/L (measured) [static]</w:t>
            </w:r>
          </w:p>
          <w:p w:rsidR="009F0C77" w:rsidRPr="009F0C77" w:rsidRDefault="009F0C77" w:rsidP="009F0C77">
            <w:pPr>
              <w:tabs>
                <w:tab w:val="left" w:pos="851"/>
                <w:tab w:val="left" w:pos="1191"/>
                <w:tab w:val="left" w:pos="1531"/>
                <w:tab w:val="left" w:pos="3686"/>
                <w:tab w:val="left" w:pos="6544"/>
              </w:tabs>
              <w:spacing w:after="180"/>
              <w:ind w:left="3686" w:right="205" w:hanging="3547"/>
              <w:jc w:val="both"/>
              <w:rPr>
                <w:sz w:val="20"/>
                <w:szCs w:val="20"/>
                <w:lang w:val="en-GB"/>
              </w:rPr>
            </w:pPr>
            <w:r w:rsidRPr="009F0C77">
              <w:rPr>
                <w:sz w:val="20"/>
                <w:szCs w:val="20"/>
                <w:lang w:val="en-GB"/>
              </w:rPr>
              <w:t>HCl [Selenastrum capricornutum]</w:t>
            </w:r>
            <w:r w:rsidRPr="009F0C77">
              <w:rPr>
                <w:sz w:val="20"/>
                <w:szCs w:val="20"/>
                <w:lang w:val="en-GB"/>
              </w:rPr>
              <w:tab/>
              <w:t>72 h ErC50 = 0.492 mg/L (pH 5.3) [static](measured; pH)</w:t>
            </w:r>
          </w:p>
          <w:p w:rsidR="009F0C77" w:rsidRPr="009F0C77" w:rsidRDefault="009F0C77" w:rsidP="009F0C77">
            <w:pPr>
              <w:tabs>
                <w:tab w:val="left" w:pos="851"/>
                <w:tab w:val="left" w:pos="1191"/>
                <w:tab w:val="left" w:pos="1531"/>
                <w:tab w:val="left" w:pos="3379"/>
                <w:tab w:val="left" w:pos="6544"/>
              </w:tabs>
              <w:spacing w:after="180"/>
              <w:ind w:left="139" w:right="205"/>
              <w:jc w:val="both"/>
              <w:rPr>
                <w:sz w:val="20"/>
                <w:szCs w:val="20"/>
                <w:lang w:val="en-GB"/>
              </w:rPr>
            </w:pPr>
            <w:r w:rsidRPr="009F0C77">
              <w:rPr>
                <w:sz w:val="20"/>
                <w:szCs w:val="20"/>
                <w:lang w:val="en-GB"/>
              </w:rPr>
              <w:t xml:space="preserve">The hazard of hydrochloric acid for the environment is caused by the proton (pH) effect. For this reason the effect of hydrogen chloride on the organisms depends on the buffer capacity of the aquatic ecosystem. Also the variation in acute toxicity for aquatic organisms can be explained to a significant extent by the variation in buffer capacity of the test medium. For example, LC50 values of acute fish toxicity tests varied from 4.92 to 282 mg/L. The toxicity values to </w:t>
            </w:r>
            <w:r w:rsidRPr="009F0C77">
              <w:rPr>
                <w:i/>
                <w:sz w:val="20"/>
                <w:szCs w:val="20"/>
                <w:lang w:val="en-GB"/>
              </w:rPr>
              <w:t>Selenastrum capricornutum</w:t>
            </w:r>
            <w:r w:rsidRPr="009F0C77">
              <w:rPr>
                <w:sz w:val="20"/>
                <w:szCs w:val="20"/>
                <w:lang w:val="en-GB"/>
              </w:rPr>
              <w:t xml:space="preserve"> 72h-EC50 is 0.780 mg/L at pH 5.1 for biomass, 0.492 mg/L at pH 5.3 for growth rate, and the 72h-NOEC is 0.097 mg/L at pH 6.0 for biomass and growth rate. The 48h-EC50 for </w:t>
            </w:r>
            <w:r w:rsidRPr="009F0C77">
              <w:rPr>
                <w:i/>
                <w:sz w:val="20"/>
                <w:szCs w:val="20"/>
                <w:lang w:val="en-GB"/>
              </w:rPr>
              <w:t>Daphnia magna</w:t>
            </w:r>
            <w:r w:rsidRPr="009F0C77">
              <w:rPr>
                <w:sz w:val="20"/>
                <w:szCs w:val="20"/>
                <w:lang w:val="en-GB"/>
              </w:rPr>
              <w:t xml:space="preserve"> is 0.492 mg/L at pH 5.3 based on immobilization. </w:t>
            </w:r>
          </w:p>
          <w:p w:rsidR="009F0C77" w:rsidRPr="009F0C77" w:rsidRDefault="009F0C77" w:rsidP="009F0C77">
            <w:pPr>
              <w:tabs>
                <w:tab w:val="left" w:pos="851"/>
                <w:tab w:val="left" w:pos="1191"/>
                <w:tab w:val="left" w:pos="1531"/>
              </w:tabs>
              <w:overflowPunct w:val="0"/>
              <w:autoSpaceDE w:val="0"/>
              <w:autoSpaceDN w:val="0"/>
              <w:spacing w:after="180"/>
              <w:ind w:leftChars="63" w:left="151" w:right="354"/>
              <w:jc w:val="both"/>
              <w:textAlignment w:val="baseline"/>
              <w:rPr>
                <w:b/>
                <w:sz w:val="20"/>
                <w:szCs w:val="20"/>
                <w:lang w:val="en-GB" w:eastAsia="ja-JP"/>
              </w:rPr>
            </w:pPr>
            <w:r w:rsidRPr="009F0C77">
              <w:rPr>
                <w:b/>
                <w:sz w:val="20"/>
                <w:szCs w:val="20"/>
                <w:lang w:val="en-GB" w:eastAsia="ja-JP"/>
              </w:rPr>
              <w:t>Based on the properties of the hydrolysis product, HCl, the vinyl chlorosilanes possess properties indicating a hazard for the environment (acute toxicity to fish between 1 and 100 mg/L, acute toxicity to aquatic invertebrates and toxicity to algae &lt; 1 mg/L). Toxic effects are expected primarily from the hydrolysis products (in particular hydrogen chloride, and depend on the buffering capacity of a particular aquatic environment. Therefore, the stated effect levels pertain to unbuffered systems and can be viewed as conservative). The vinyl chlorosilanes and their hydrolysis products are not expected to be readily biodegradable or to bioaccumulate. Adequate screening-level data are available to characterize the hazard for the environment for the purposes of the OECD Cooperative Chemicals Assessment Programme.</w:t>
            </w:r>
          </w:p>
          <w:p w:rsidR="009F0C77" w:rsidRPr="009F0C77" w:rsidRDefault="009F0C77" w:rsidP="009F0C77">
            <w:pPr>
              <w:tabs>
                <w:tab w:val="left" w:pos="851"/>
                <w:tab w:val="left" w:pos="1191"/>
                <w:tab w:val="left" w:pos="1531"/>
              </w:tabs>
              <w:overflowPunct w:val="0"/>
              <w:autoSpaceDE w:val="0"/>
              <w:autoSpaceDN w:val="0"/>
              <w:spacing w:after="180"/>
              <w:ind w:leftChars="63" w:left="151" w:right="354"/>
              <w:jc w:val="both"/>
              <w:textAlignment w:val="baseline"/>
              <w:rPr>
                <w:b/>
                <w:sz w:val="20"/>
                <w:szCs w:val="20"/>
                <w:lang w:val="en-GB"/>
              </w:rPr>
            </w:pPr>
            <w:r w:rsidRPr="009F0C77">
              <w:rPr>
                <w:b/>
                <w:sz w:val="20"/>
                <w:szCs w:val="20"/>
                <w:lang w:val="en-GB"/>
              </w:rPr>
              <w:t>Exposure</w:t>
            </w:r>
          </w:p>
          <w:p w:rsidR="009F0C77" w:rsidRPr="009F0C77" w:rsidRDefault="009F0C77" w:rsidP="009F0C77">
            <w:pPr>
              <w:tabs>
                <w:tab w:val="left" w:pos="851"/>
                <w:tab w:val="left" w:pos="1191"/>
                <w:tab w:val="left" w:pos="1531"/>
                <w:tab w:val="left" w:pos="2944"/>
              </w:tabs>
              <w:spacing w:after="180"/>
              <w:ind w:left="142" w:right="354"/>
              <w:jc w:val="both"/>
              <w:rPr>
                <w:sz w:val="20"/>
                <w:szCs w:val="20"/>
                <w:lang w:val="en-GB" w:eastAsia="ja-JP"/>
              </w:rPr>
            </w:pPr>
            <w:r w:rsidRPr="009F0C77">
              <w:rPr>
                <w:sz w:val="20"/>
                <w:szCs w:val="20"/>
                <w:lang w:val="en-GB" w:eastAsia="ja-JP"/>
              </w:rPr>
              <w:t>The estimated annual production volumes for the category members are:</w:t>
            </w:r>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65"/>
              <w:gridCol w:w="2411"/>
              <w:gridCol w:w="2507"/>
              <w:gridCol w:w="2854"/>
            </w:tblGrid>
            <w:tr w:rsidR="009F0C77" w:rsidRPr="009F0C77" w:rsidTr="009F0C77">
              <w:trPr>
                <w:trHeight w:val="749"/>
              </w:trPr>
              <w:tc>
                <w:tcPr>
                  <w:tcW w:w="1181" w:type="dxa"/>
                  <w:tcBorders>
                    <w:top w:val="single" w:sz="12" w:space="0" w:color="auto"/>
                    <w:bottom w:val="single" w:sz="12" w:space="0" w:color="auto"/>
                  </w:tcBorders>
                  <w:shd w:val="clear" w:color="auto" w:fill="C6D9F1"/>
                  <w:vAlign w:val="center"/>
                </w:tcPr>
                <w:p w:rsidR="009F0C77" w:rsidRPr="009F0C77" w:rsidRDefault="009F0C77" w:rsidP="009F0C77">
                  <w:pPr>
                    <w:keepNext/>
                    <w:keepLines/>
                    <w:tabs>
                      <w:tab w:val="left" w:pos="851"/>
                      <w:tab w:val="left" w:pos="1191"/>
                      <w:tab w:val="left" w:pos="1531"/>
                    </w:tabs>
                    <w:spacing w:before="54" w:after="54"/>
                    <w:jc w:val="center"/>
                    <w:rPr>
                      <w:rFonts w:eastAsia="MS Mincho"/>
                      <w:b/>
                      <w:snapToGrid w:val="0"/>
                      <w:sz w:val="20"/>
                      <w:szCs w:val="20"/>
                      <w:lang w:eastAsia="da-DK"/>
                    </w:rPr>
                  </w:pPr>
                  <w:r w:rsidRPr="009F0C77">
                    <w:rPr>
                      <w:rFonts w:eastAsia="MS Mincho"/>
                      <w:b/>
                      <w:snapToGrid w:val="0"/>
                      <w:sz w:val="20"/>
                      <w:szCs w:val="20"/>
                      <w:lang w:eastAsia="da-DK"/>
                    </w:rPr>
                    <w:t>Substance</w:t>
                  </w:r>
                </w:p>
              </w:tc>
              <w:tc>
                <w:tcPr>
                  <w:tcW w:w="2250" w:type="dxa"/>
                  <w:tcBorders>
                    <w:top w:val="single" w:sz="12" w:space="0" w:color="auto"/>
                    <w:bottom w:val="single" w:sz="12" w:space="0" w:color="auto"/>
                  </w:tcBorders>
                  <w:shd w:val="clear" w:color="auto" w:fill="C6D9F1"/>
                  <w:tcMar>
                    <w:left w:w="115" w:type="dxa"/>
                    <w:right w:w="158" w:type="dxa"/>
                  </w:tcMar>
                </w:tcPr>
                <w:p w:rsidR="009F0C77" w:rsidRPr="009F0C77" w:rsidRDefault="009F0C77" w:rsidP="009F0C77">
                  <w:pPr>
                    <w:keepNext/>
                    <w:keepLines/>
                    <w:tabs>
                      <w:tab w:val="left" w:pos="851"/>
                      <w:tab w:val="left" w:pos="1191"/>
                      <w:tab w:val="left" w:pos="1531"/>
                    </w:tabs>
                    <w:spacing w:before="54" w:after="54"/>
                    <w:jc w:val="center"/>
                    <w:rPr>
                      <w:rFonts w:eastAsia="MS Mincho"/>
                      <w:b/>
                      <w:snapToGrid w:val="0"/>
                      <w:color w:val="000000"/>
                      <w:sz w:val="20"/>
                      <w:szCs w:val="20"/>
                      <w:lang w:eastAsia="da-DK"/>
                    </w:rPr>
                  </w:pPr>
                  <w:r w:rsidRPr="009F0C77">
                    <w:rPr>
                      <w:rFonts w:eastAsia="MS Mincho"/>
                      <w:b/>
                      <w:snapToGrid w:val="0"/>
                      <w:color w:val="000000"/>
                      <w:sz w:val="20"/>
                      <w:szCs w:val="20"/>
                      <w:lang w:eastAsia="da-DK"/>
                    </w:rPr>
                    <w:t>Estimated United States 2010 Production (metric tonnes)</w:t>
                  </w:r>
                </w:p>
              </w:tc>
              <w:tc>
                <w:tcPr>
                  <w:tcW w:w="2340" w:type="dxa"/>
                  <w:tcBorders>
                    <w:top w:val="single" w:sz="12" w:space="0" w:color="auto"/>
                    <w:bottom w:val="single" w:sz="12" w:space="0" w:color="auto"/>
                  </w:tcBorders>
                  <w:shd w:val="clear" w:color="auto" w:fill="C6D9F1"/>
                  <w:tcMar>
                    <w:left w:w="115" w:type="dxa"/>
                    <w:right w:w="158" w:type="dxa"/>
                  </w:tcMar>
                </w:tcPr>
                <w:p w:rsidR="009F0C77" w:rsidRPr="009F0C77" w:rsidRDefault="009F0C77" w:rsidP="009F0C77">
                  <w:pPr>
                    <w:keepNext/>
                    <w:keepLines/>
                    <w:tabs>
                      <w:tab w:val="left" w:pos="851"/>
                      <w:tab w:val="left" w:pos="1191"/>
                      <w:tab w:val="left" w:pos="1531"/>
                    </w:tabs>
                    <w:spacing w:before="54" w:after="54"/>
                    <w:jc w:val="center"/>
                    <w:rPr>
                      <w:rFonts w:eastAsia="MS Mincho"/>
                      <w:b/>
                      <w:snapToGrid w:val="0"/>
                      <w:color w:val="000000"/>
                      <w:sz w:val="20"/>
                      <w:szCs w:val="20"/>
                      <w:lang w:eastAsia="da-DK"/>
                    </w:rPr>
                  </w:pPr>
                  <w:r w:rsidRPr="009F0C77">
                    <w:rPr>
                      <w:rFonts w:eastAsia="MS Mincho"/>
                      <w:b/>
                      <w:snapToGrid w:val="0"/>
                      <w:color w:val="000000"/>
                      <w:sz w:val="20"/>
                      <w:szCs w:val="20"/>
                      <w:lang w:eastAsia="da-DK"/>
                    </w:rPr>
                    <w:t>Estimated European 2010 production (metric tonnes)</w:t>
                  </w:r>
                </w:p>
              </w:tc>
              <w:tc>
                <w:tcPr>
                  <w:tcW w:w="2664" w:type="dxa"/>
                  <w:tcBorders>
                    <w:top w:val="single" w:sz="12" w:space="0" w:color="auto"/>
                    <w:bottom w:val="single" w:sz="12" w:space="0" w:color="auto"/>
                  </w:tcBorders>
                  <w:shd w:val="clear" w:color="auto" w:fill="C6D9F1"/>
                </w:tcPr>
                <w:p w:rsidR="009F0C77" w:rsidRPr="009F0C77" w:rsidRDefault="009F0C77" w:rsidP="009F0C77">
                  <w:pPr>
                    <w:keepNext/>
                    <w:keepLines/>
                    <w:tabs>
                      <w:tab w:val="left" w:pos="851"/>
                      <w:tab w:val="left" w:pos="1191"/>
                      <w:tab w:val="left" w:pos="1531"/>
                    </w:tabs>
                    <w:spacing w:before="54" w:after="54"/>
                    <w:jc w:val="center"/>
                    <w:rPr>
                      <w:rFonts w:eastAsia="MS Mincho"/>
                      <w:b/>
                      <w:snapToGrid w:val="0"/>
                      <w:color w:val="000000"/>
                      <w:sz w:val="20"/>
                      <w:szCs w:val="20"/>
                      <w:lang w:eastAsia="da-DK"/>
                    </w:rPr>
                  </w:pPr>
                  <w:r w:rsidRPr="009F0C77">
                    <w:rPr>
                      <w:rFonts w:eastAsia="MS Mincho"/>
                      <w:b/>
                      <w:snapToGrid w:val="0"/>
                      <w:color w:val="000000"/>
                      <w:sz w:val="20"/>
                      <w:szCs w:val="20"/>
                      <w:lang w:eastAsia="da-DK"/>
                    </w:rPr>
                    <w:t>Estimated Japanese 2010 production (metric tonnes)</w:t>
                  </w:r>
                </w:p>
              </w:tc>
            </w:tr>
            <w:tr w:rsidR="009F0C77" w:rsidRPr="009F0C77" w:rsidTr="009F0C77">
              <w:tc>
                <w:tcPr>
                  <w:tcW w:w="1181" w:type="dxa"/>
                  <w:tcBorders>
                    <w:top w:val="single" w:sz="12" w:space="0" w:color="auto"/>
                  </w:tcBorders>
                  <w:vAlign w:val="center"/>
                </w:tcPr>
                <w:p w:rsidR="009F0C77" w:rsidRPr="009F0C77" w:rsidRDefault="009F0C77" w:rsidP="009F0C77">
                  <w:pPr>
                    <w:keepNext/>
                    <w:keepLines/>
                    <w:tabs>
                      <w:tab w:val="left" w:pos="851"/>
                      <w:tab w:val="left" w:pos="1191"/>
                      <w:tab w:val="left" w:pos="1531"/>
                    </w:tabs>
                    <w:spacing w:before="54" w:after="54"/>
                    <w:jc w:val="center"/>
                    <w:rPr>
                      <w:rFonts w:eastAsia="MS Mincho"/>
                      <w:b/>
                      <w:snapToGrid w:val="0"/>
                      <w:sz w:val="20"/>
                      <w:szCs w:val="20"/>
                      <w:lang w:eastAsia="da-DK"/>
                    </w:rPr>
                  </w:pPr>
                  <w:r w:rsidRPr="009F0C77">
                    <w:rPr>
                      <w:rFonts w:eastAsia="MS Mincho"/>
                      <w:b/>
                      <w:snapToGrid w:val="0"/>
                      <w:sz w:val="20"/>
                      <w:szCs w:val="20"/>
                      <w:lang w:eastAsia="da-DK"/>
                    </w:rPr>
                    <w:t>VDCS</w:t>
                  </w:r>
                </w:p>
              </w:tc>
              <w:tc>
                <w:tcPr>
                  <w:tcW w:w="2250" w:type="dxa"/>
                  <w:tcBorders>
                    <w:top w:val="single" w:sz="12" w:space="0" w:color="auto"/>
                  </w:tcBorders>
                  <w:tcMar>
                    <w:left w:w="115" w:type="dxa"/>
                    <w:right w:w="158" w:type="dxa"/>
                  </w:tcMar>
                  <w:vAlign w:val="center"/>
                </w:tcPr>
                <w:p w:rsidR="009F0C77" w:rsidRPr="009F0C77" w:rsidRDefault="009F0C77" w:rsidP="009F0C77">
                  <w:pPr>
                    <w:keepNext/>
                    <w:keepLines/>
                    <w:tabs>
                      <w:tab w:val="left" w:pos="851"/>
                      <w:tab w:val="left" w:pos="1191"/>
                      <w:tab w:val="left" w:pos="1531"/>
                    </w:tabs>
                    <w:spacing w:before="54" w:after="54"/>
                    <w:jc w:val="center"/>
                    <w:rPr>
                      <w:rFonts w:eastAsia="MS Mincho"/>
                      <w:snapToGrid w:val="0"/>
                      <w:color w:val="000000"/>
                      <w:sz w:val="20"/>
                      <w:szCs w:val="20"/>
                      <w:lang w:eastAsia="da-DK"/>
                    </w:rPr>
                  </w:pPr>
                  <w:r w:rsidRPr="009F0C77">
                    <w:rPr>
                      <w:rFonts w:eastAsia="MS Mincho"/>
                      <w:snapToGrid w:val="0"/>
                      <w:sz w:val="20"/>
                      <w:szCs w:val="20"/>
                      <w:lang w:eastAsia="da-DK"/>
                    </w:rPr>
                    <w:t>454 – 4536</w:t>
                  </w:r>
                </w:p>
              </w:tc>
              <w:tc>
                <w:tcPr>
                  <w:tcW w:w="2340" w:type="dxa"/>
                  <w:tcBorders>
                    <w:top w:val="single" w:sz="12" w:space="0" w:color="auto"/>
                  </w:tcBorders>
                  <w:tcMar>
                    <w:left w:w="115" w:type="dxa"/>
                    <w:right w:w="158" w:type="dxa"/>
                  </w:tcMar>
                  <w:vAlign w:val="center"/>
                </w:tcPr>
                <w:p w:rsidR="009F0C77" w:rsidRPr="009F0C77" w:rsidRDefault="009F0C77" w:rsidP="009F0C77">
                  <w:pPr>
                    <w:keepNext/>
                    <w:keepLines/>
                    <w:tabs>
                      <w:tab w:val="left" w:pos="851"/>
                      <w:tab w:val="left" w:pos="1191"/>
                      <w:tab w:val="left" w:pos="1531"/>
                    </w:tabs>
                    <w:spacing w:before="54" w:after="54"/>
                    <w:jc w:val="center"/>
                    <w:rPr>
                      <w:rFonts w:eastAsia="MS Mincho"/>
                      <w:snapToGrid w:val="0"/>
                      <w:sz w:val="20"/>
                      <w:szCs w:val="20"/>
                      <w:lang w:eastAsia="da-DK"/>
                    </w:rPr>
                  </w:pPr>
                  <w:r w:rsidRPr="009F0C77">
                    <w:rPr>
                      <w:rFonts w:eastAsia="MS Mincho"/>
                      <w:snapToGrid w:val="0"/>
                      <w:sz w:val="20"/>
                      <w:szCs w:val="20"/>
                      <w:lang w:eastAsia="da-DK"/>
                    </w:rPr>
                    <w:t>45 – 907</w:t>
                  </w:r>
                </w:p>
              </w:tc>
              <w:tc>
                <w:tcPr>
                  <w:tcW w:w="2664" w:type="dxa"/>
                  <w:tcBorders>
                    <w:top w:val="single" w:sz="12" w:space="0" w:color="auto"/>
                  </w:tcBorders>
                  <w:vAlign w:val="center"/>
                </w:tcPr>
                <w:p w:rsidR="009F0C77" w:rsidRPr="009F0C77" w:rsidRDefault="009F0C77" w:rsidP="009F0C77">
                  <w:pPr>
                    <w:tabs>
                      <w:tab w:val="left" w:pos="851"/>
                      <w:tab w:val="left" w:pos="1191"/>
                      <w:tab w:val="left" w:pos="1531"/>
                    </w:tabs>
                    <w:jc w:val="center"/>
                    <w:rPr>
                      <w:sz w:val="20"/>
                      <w:szCs w:val="20"/>
                      <w:lang w:val="en-GB"/>
                    </w:rPr>
                  </w:pPr>
                  <w:r w:rsidRPr="009F0C77">
                    <w:rPr>
                      <w:sz w:val="20"/>
                      <w:szCs w:val="20"/>
                      <w:lang w:val="en-GB"/>
                    </w:rPr>
                    <w:t>454 – 4536</w:t>
                  </w:r>
                </w:p>
              </w:tc>
            </w:tr>
            <w:tr w:rsidR="009F0C77" w:rsidRPr="009F0C77" w:rsidTr="009F0C77">
              <w:tc>
                <w:tcPr>
                  <w:tcW w:w="1181" w:type="dxa"/>
                  <w:vAlign w:val="center"/>
                </w:tcPr>
                <w:p w:rsidR="009F0C77" w:rsidRPr="009F0C77" w:rsidRDefault="009F0C77" w:rsidP="009F0C77">
                  <w:pPr>
                    <w:keepNext/>
                    <w:keepLines/>
                    <w:tabs>
                      <w:tab w:val="left" w:pos="851"/>
                      <w:tab w:val="left" w:pos="1191"/>
                      <w:tab w:val="left" w:pos="1531"/>
                    </w:tabs>
                    <w:spacing w:before="54" w:after="54"/>
                    <w:jc w:val="center"/>
                    <w:rPr>
                      <w:rFonts w:eastAsia="MS Mincho"/>
                      <w:b/>
                      <w:snapToGrid w:val="0"/>
                      <w:sz w:val="20"/>
                      <w:szCs w:val="20"/>
                      <w:lang w:eastAsia="da-DK"/>
                    </w:rPr>
                  </w:pPr>
                  <w:r w:rsidRPr="009F0C77">
                    <w:rPr>
                      <w:rFonts w:eastAsia="MS Mincho"/>
                      <w:b/>
                      <w:snapToGrid w:val="0"/>
                      <w:sz w:val="20"/>
                      <w:szCs w:val="20"/>
                      <w:lang w:eastAsia="da-DK"/>
                    </w:rPr>
                    <w:t>VTCS</w:t>
                  </w:r>
                </w:p>
              </w:tc>
              <w:tc>
                <w:tcPr>
                  <w:tcW w:w="2250" w:type="dxa"/>
                  <w:tcMar>
                    <w:left w:w="115" w:type="dxa"/>
                    <w:right w:w="158" w:type="dxa"/>
                  </w:tcMar>
                  <w:vAlign w:val="center"/>
                </w:tcPr>
                <w:p w:rsidR="009F0C77" w:rsidRPr="009F0C77" w:rsidRDefault="009F0C77" w:rsidP="009F0C77">
                  <w:pPr>
                    <w:keepNext/>
                    <w:keepLines/>
                    <w:tabs>
                      <w:tab w:val="left" w:pos="851"/>
                      <w:tab w:val="left" w:pos="1191"/>
                      <w:tab w:val="left" w:pos="1531"/>
                    </w:tabs>
                    <w:spacing w:before="54" w:after="54"/>
                    <w:jc w:val="center"/>
                    <w:rPr>
                      <w:rFonts w:eastAsia="MS Mincho"/>
                      <w:snapToGrid w:val="0"/>
                      <w:color w:val="000000"/>
                      <w:sz w:val="20"/>
                      <w:szCs w:val="20"/>
                      <w:lang w:eastAsia="da-DK"/>
                    </w:rPr>
                  </w:pPr>
                  <w:r w:rsidRPr="009F0C77">
                    <w:rPr>
                      <w:rFonts w:eastAsia="MS Mincho"/>
                      <w:snapToGrid w:val="0"/>
                      <w:color w:val="000000"/>
                      <w:sz w:val="20"/>
                      <w:szCs w:val="20"/>
                      <w:lang w:eastAsia="da-DK"/>
                    </w:rPr>
                    <w:t>454 – 4536</w:t>
                  </w:r>
                </w:p>
              </w:tc>
              <w:tc>
                <w:tcPr>
                  <w:tcW w:w="2340" w:type="dxa"/>
                  <w:tcMar>
                    <w:left w:w="115" w:type="dxa"/>
                    <w:right w:w="158" w:type="dxa"/>
                  </w:tcMar>
                  <w:vAlign w:val="center"/>
                </w:tcPr>
                <w:p w:rsidR="009F0C77" w:rsidRPr="009F0C77" w:rsidRDefault="009F0C77" w:rsidP="009F0C77">
                  <w:pPr>
                    <w:keepNext/>
                    <w:keepLines/>
                    <w:tabs>
                      <w:tab w:val="left" w:pos="851"/>
                      <w:tab w:val="left" w:pos="1191"/>
                      <w:tab w:val="left" w:pos="1531"/>
                    </w:tabs>
                    <w:spacing w:before="54" w:after="54"/>
                    <w:jc w:val="center"/>
                    <w:rPr>
                      <w:rFonts w:eastAsia="MS Mincho"/>
                      <w:snapToGrid w:val="0"/>
                      <w:sz w:val="20"/>
                      <w:szCs w:val="20"/>
                      <w:lang w:eastAsia="da-DK"/>
                    </w:rPr>
                  </w:pPr>
                  <w:r w:rsidRPr="009F0C77">
                    <w:rPr>
                      <w:rFonts w:eastAsia="MS Mincho"/>
                      <w:snapToGrid w:val="0"/>
                      <w:sz w:val="20"/>
                      <w:szCs w:val="20"/>
                      <w:lang w:eastAsia="da-DK"/>
                    </w:rPr>
                    <w:t>0</w:t>
                  </w:r>
                </w:p>
              </w:tc>
              <w:tc>
                <w:tcPr>
                  <w:tcW w:w="2664" w:type="dxa"/>
                  <w:vAlign w:val="center"/>
                </w:tcPr>
                <w:p w:rsidR="009F0C77" w:rsidRPr="009F0C77" w:rsidRDefault="009F0C77" w:rsidP="009F0C77">
                  <w:pPr>
                    <w:tabs>
                      <w:tab w:val="left" w:pos="851"/>
                      <w:tab w:val="left" w:pos="1191"/>
                      <w:tab w:val="left" w:pos="1531"/>
                    </w:tabs>
                    <w:jc w:val="center"/>
                    <w:rPr>
                      <w:sz w:val="20"/>
                      <w:szCs w:val="20"/>
                      <w:lang w:val="en-GB"/>
                    </w:rPr>
                  </w:pPr>
                  <w:r w:rsidRPr="009F0C77">
                    <w:rPr>
                      <w:sz w:val="20"/>
                      <w:szCs w:val="20"/>
                      <w:lang w:val="en-GB"/>
                    </w:rPr>
                    <w:t>0</w:t>
                  </w:r>
                </w:p>
              </w:tc>
            </w:tr>
          </w:tbl>
          <w:p w:rsidR="009F0C77" w:rsidRPr="009F0C77" w:rsidRDefault="009F0C77" w:rsidP="009F0C77">
            <w:pPr>
              <w:tabs>
                <w:tab w:val="left" w:pos="0"/>
                <w:tab w:val="left" w:pos="851"/>
                <w:tab w:val="left" w:pos="1191"/>
                <w:tab w:val="left" w:pos="1531"/>
                <w:tab w:val="left" w:pos="2944"/>
                <w:tab w:val="left" w:pos="10893"/>
                <w:tab w:val="left" w:pos="11505"/>
              </w:tabs>
              <w:suppressAutoHyphens/>
              <w:spacing w:before="240" w:after="180"/>
              <w:ind w:left="214" w:right="290"/>
              <w:jc w:val="both"/>
              <w:rPr>
                <w:sz w:val="20"/>
                <w:szCs w:val="20"/>
                <w:lang w:val="en-GB"/>
              </w:rPr>
            </w:pPr>
            <w:r w:rsidRPr="009F0C77">
              <w:rPr>
                <w:sz w:val="20"/>
                <w:szCs w:val="20"/>
                <w:lang w:val="en-GB" w:eastAsia="ja-JP"/>
              </w:rPr>
              <w:t xml:space="preserve">100% of the vinyl chlorosilanes, by volume, are used as intermediates in the manufacture of commercial organosiloxanes. The vinyl chlorosilanes are </w:t>
            </w:r>
            <w:r w:rsidRPr="009F0C77">
              <w:rPr>
                <w:sz w:val="20"/>
                <w:szCs w:val="20"/>
                <w:lang w:val="en-GB"/>
              </w:rPr>
              <w:t>reacted during use and lose their chemical identities.</w:t>
            </w:r>
          </w:p>
          <w:p w:rsidR="009F0C77" w:rsidRPr="009F0C77" w:rsidRDefault="009F0C77" w:rsidP="009F0C77">
            <w:pPr>
              <w:tabs>
                <w:tab w:val="left" w:pos="0"/>
                <w:tab w:val="left" w:pos="851"/>
                <w:tab w:val="left" w:pos="1191"/>
                <w:tab w:val="left" w:pos="1531"/>
                <w:tab w:val="left" w:pos="2944"/>
                <w:tab w:val="left" w:pos="10893"/>
                <w:tab w:val="left" w:pos="11505"/>
              </w:tabs>
              <w:suppressAutoHyphens/>
              <w:spacing w:after="180"/>
              <w:ind w:left="216" w:right="216"/>
              <w:jc w:val="both"/>
              <w:rPr>
                <w:sz w:val="20"/>
                <w:szCs w:val="20"/>
                <w:lang w:val="en-GB"/>
              </w:rPr>
            </w:pPr>
            <w:r w:rsidRPr="009F0C77">
              <w:rPr>
                <w:sz w:val="20"/>
                <w:szCs w:val="20"/>
                <w:lang w:val="en-GB"/>
              </w:rPr>
              <w:t>The vinyl chlorosilanes are produced and processed in closed systems. There are no intentional releases to the environment from the manufacturing processes among the companies that are sponsoring this case. Many engineering controls are in place at all the companies sponsoring this case to prevent occupational exposure such as local and general ventilation, ventilation systems tied into scrubbers with nitrogen padding, ambient temperature, closed loop unloading and dry break connections. Employees involved in chlorosilane production and application are required to use personal protective equipment (PPE) such as a respirator with organic vapor cartridges, slicker suit, Viton (chemical resistant) gloves, and rubber boots. For any situation (e.g. equipment maintenance and repair) where potential exposure to chlorosilanes is expected, the use of acid resistant protective equipment, respiratory equipment and face shield is recommended because of their hazardous properties. Environmental exposure is not expected.</w:t>
            </w:r>
          </w:p>
          <w:p w:rsidR="009F0C77" w:rsidRPr="009F0C77" w:rsidRDefault="009F0C77" w:rsidP="009F0C77">
            <w:pPr>
              <w:tabs>
                <w:tab w:val="left" w:pos="0"/>
                <w:tab w:val="left" w:pos="851"/>
                <w:tab w:val="left" w:pos="1191"/>
                <w:tab w:val="left" w:pos="1531"/>
                <w:tab w:val="left" w:pos="2944"/>
                <w:tab w:val="left" w:pos="10893"/>
                <w:tab w:val="left" w:pos="11505"/>
              </w:tabs>
              <w:suppressAutoHyphens/>
              <w:spacing w:after="180"/>
              <w:ind w:left="214" w:right="290"/>
              <w:jc w:val="both"/>
              <w:rPr>
                <w:sz w:val="22"/>
                <w:szCs w:val="22"/>
                <w:lang w:val="en-GB"/>
              </w:rPr>
            </w:pPr>
            <w:r w:rsidRPr="009F0C77">
              <w:rPr>
                <w:sz w:val="20"/>
                <w:szCs w:val="20"/>
                <w:lang w:val="en-GB"/>
              </w:rPr>
              <w:t>There are no consumer uses of the vinyl chlorosilanes.</w:t>
            </w:r>
          </w:p>
        </w:tc>
      </w:tr>
    </w:tbl>
    <w:p w:rsidR="00740E9A" w:rsidRDefault="00740E9A" w:rsidP="005123A4">
      <w:pPr>
        <w:pStyle w:val="CoverTitle"/>
        <w:rPr>
          <w:rFonts w:ascii="Times New Roman" w:hAnsi="Times New Roman"/>
          <w:szCs w:val="32"/>
        </w:rPr>
      </w:pPr>
      <w:r>
        <w:rPr>
          <w:rFonts w:ascii="Times New Roman" w:hAnsi="Times New Roman"/>
          <w:szCs w:val="32"/>
        </w:rPr>
        <w:br w:type="page"/>
      </w:r>
    </w:p>
    <w:p w:rsidR="00C1433D" w:rsidRPr="005123A4" w:rsidRDefault="00C1433D" w:rsidP="005123A4">
      <w:pPr>
        <w:pStyle w:val="CoverTitle"/>
        <w:rPr>
          <w:rFonts w:ascii="Times New Roman" w:hAnsi="Times New Roman"/>
          <w:szCs w:val="32"/>
        </w:rPr>
      </w:pPr>
      <w:r w:rsidRPr="005123A4">
        <w:rPr>
          <w:rFonts w:ascii="Times New Roman" w:hAnsi="Times New Roman"/>
          <w:szCs w:val="32"/>
        </w:rPr>
        <w:t>SIDS Initial Assessment Report</w:t>
      </w:r>
    </w:p>
    <w:p w:rsidR="000274A1" w:rsidRPr="00D93C78" w:rsidRDefault="00C1433D" w:rsidP="00405A21">
      <w:pPr>
        <w:pStyle w:val="Heading1"/>
        <w:numPr>
          <w:ilvl w:val="0"/>
          <w:numId w:val="5"/>
        </w:numPr>
        <w:jc w:val="both"/>
        <w:rPr>
          <w:rFonts w:ascii="Times New Roman" w:hAnsi="Times New Roman"/>
          <w:szCs w:val="24"/>
        </w:rPr>
      </w:pPr>
      <w:bookmarkStart w:id="4" w:name="_Toc32726012"/>
      <w:bookmarkStart w:id="5" w:name="_Toc32727195"/>
      <w:bookmarkStart w:id="6" w:name="_Toc43868640"/>
      <w:bookmarkStart w:id="7" w:name="_Toc200358228"/>
      <w:bookmarkStart w:id="8" w:name="_Toc310335169"/>
      <w:r w:rsidRPr="00D93C78">
        <w:rPr>
          <w:rFonts w:ascii="Times New Roman" w:hAnsi="Times New Roman"/>
          <w:szCs w:val="24"/>
        </w:rPr>
        <w:t>identity</w:t>
      </w:r>
      <w:bookmarkEnd w:id="4"/>
      <w:bookmarkEnd w:id="5"/>
      <w:bookmarkEnd w:id="6"/>
      <w:bookmarkEnd w:id="7"/>
      <w:bookmarkEnd w:id="8"/>
    </w:p>
    <w:p w:rsidR="00B04FCA" w:rsidRPr="00D93C78" w:rsidRDefault="00B04FCA" w:rsidP="00D93C78">
      <w:pPr>
        <w:pStyle w:val="BodyText"/>
        <w:rPr>
          <w:szCs w:val="24"/>
        </w:rPr>
      </w:pPr>
      <w:r w:rsidRPr="00D93C78">
        <w:rPr>
          <w:szCs w:val="24"/>
        </w:rPr>
        <w:t xml:space="preserve">The </w:t>
      </w:r>
      <w:r w:rsidR="00F2271E" w:rsidRPr="00D93C78">
        <w:rPr>
          <w:szCs w:val="24"/>
        </w:rPr>
        <w:t>Vinyl</w:t>
      </w:r>
      <w:r w:rsidR="00C54AD4" w:rsidRPr="00D93C78">
        <w:rPr>
          <w:szCs w:val="24"/>
        </w:rPr>
        <w:t xml:space="preserve"> C</w:t>
      </w:r>
      <w:r w:rsidR="00413FFD" w:rsidRPr="00D93C78">
        <w:rPr>
          <w:szCs w:val="24"/>
        </w:rPr>
        <w:t>hlorosilanes</w:t>
      </w:r>
      <w:r w:rsidR="00C54AD4" w:rsidRPr="00D93C78">
        <w:rPr>
          <w:szCs w:val="24"/>
        </w:rPr>
        <w:t xml:space="preserve"> </w:t>
      </w:r>
      <w:r w:rsidRPr="00D93C78">
        <w:rPr>
          <w:szCs w:val="24"/>
        </w:rPr>
        <w:t xml:space="preserve">Category consists of </w:t>
      </w:r>
      <w:r w:rsidR="001340B2" w:rsidRPr="00D93C78">
        <w:rPr>
          <w:szCs w:val="24"/>
        </w:rPr>
        <w:t>two</w:t>
      </w:r>
      <w:r w:rsidR="00A8530F" w:rsidRPr="00D93C78">
        <w:rPr>
          <w:szCs w:val="24"/>
        </w:rPr>
        <w:t xml:space="preserve"> (</w:t>
      </w:r>
      <w:r w:rsidR="001340B2" w:rsidRPr="00D93C78">
        <w:rPr>
          <w:szCs w:val="24"/>
        </w:rPr>
        <w:t>2</w:t>
      </w:r>
      <w:r w:rsidR="00A8530F" w:rsidRPr="00D93C78">
        <w:rPr>
          <w:szCs w:val="24"/>
        </w:rPr>
        <w:t xml:space="preserve">) </w:t>
      </w:r>
      <w:r w:rsidRPr="00D93C78">
        <w:rPr>
          <w:szCs w:val="24"/>
        </w:rPr>
        <w:t xml:space="preserve">sponsored chlorosilanes: </w:t>
      </w:r>
      <w:r w:rsidR="00D90513" w:rsidRPr="00D93C78">
        <w:rPr>
          <w:szCs w:val="24"/>
        </w:rPr>
        <w:t>dichloromethyl</w:t>
      </w:r>
      <w:r w:rsidR="00F2271E" w:rsidRPr="00D93C78">
        <w:rPr>
          <w:szCs w:val="24"/>
        </w:rPr>
        <w:t>(vinyl)</w:t>
      </w:r>
      <w:r w:rsidR="00D90513" w:rsidRPr="00D93C78">
        <w:rPr>
          <w:szCs w:val="24"/>
        </w:rPr>
        <w:t>silane (</w:t>
      </w:r>
      <w:r w:rsidR="00F2271E" w:rsidRPr="00D93C78">
        <w:rPr>
          <w:b/>
          <w:szCs w:val="24"/>
        </w:rPr>
        <w:t>V</w:t>
      </w:r>
      <w:r w:rsidR="002E0BB2" w:rsidRPr="00D93C78">
        <w:rPr>
          <w:b/>
          <w:szCs w:val="24"/>
        </w:rPr>
        <w:t>DCS</w:t>
      </w:r>
      <w:r w:rsidR="00D90513" w:rsidRPr="00D93C78">
        <w:rPr>
          <w:szCs w:val="24"/>
        </w:rPr>
        <w:t xml:space="preserve">; CAS No. </w:t>
      </w:r>
      <w:r w:rsidR="00F2271E" w:rsidRPr="00D93C78">
        <w:rPr>
          <w:szCs w:val="24"/>
        </w:rPr>
        <w:t>124-70-</w:t>
      </w:r>
      <w:r w:rsidR="00FF11A5" w:rsidRPr="00D93C78">
        <w:rPr>
          <w:szCs w:val="24"/>
        </w:rPr>
        <w:t>9</w:t>
      </w:r>
      <w:r w:rsidR="00D90513" w:rsidRPr="00D93C78">
        <w:rPr>
          <w:szCs w:val="24"/>
        </w:rPr>
        <w:t xml:space="preserve">) </w:t>
      </w:r>
      <w:r w:rsidR="00F2271E" w:rsidRPr="00D93C78">
        <w:rPr>
          <w:szCs w:val="24"/>
        </w:rPr>
        <w:t xml:space="preserve">and </w:t>
      </w:r>
      <w:r w:rsidR="00D90513" w:rsidRPr="00D93C78">
        <w:rPr>
          <w:szCs w:val="24"/>
        </w:rPr>
        <w:t>trichloro</w:t>
      </w:r>
      <w:r w:rsidR="00F2271E" w:rsidRPr="00D93C78">
        <w:rPr>
          <w:szCs w:val="24"/>
        </w:rPr>
        <w:t>(vinyl)</w:t>
      </w:r>
      <w:r w:rsidR="00D90513" w:rsidRPr="00D93C78">
        <w:rPr>
          <w:szCs w:val="24"/>
        </w:rPr>
        <w:t>silane (</w:t>
      </w:r>
      <w:r w:rsidR="0052125F" w:rsidRPr="00D93C78">
        <w:rPr>
          <w:b/>
          <w:szCs w:val="24"/>
        </w:rPr>
        <w:t>VTCS</w:t>
      </w:r>
      <w:r w:rsidR="00D90513" w:rsidRPr="00D93C78">
        <w:rPr>
          <w:szCs w:val="24"/>
        </w:rPr>
        <w:t xml:space="preserve">; CAS No. </w:t>
      </w:r>
      <w:r w:rsidR="00F2271E" w:rsidRPr="00D93C78">
        <w:rPr>
          <w:szCs w:val="24"/>
        </w:rPr>
        <w:t>75-94-5</w:t>
      </w:r>
      <w:r w:rsidR="00D90513" w:rsidRPr="00D93C78">
        <w:rPr>
          <w:szCs w:val="24"/>
        </w:rPr>
        <w:t>).</w:t>
      </w:r>
      <w:r w:rsidRPr="00D93C78">
        <w:rPr>
          <w:szCs w:val="24"/>
        </w:rPr>
        <w:t xml:space="preserve">  These chemicals can be represented by a similar general molecular formula:</w:t>
      </w:r>
    </w:p>
    <w:p w:rsidR="00B04FCA" w:rsidRPr="00D93C78" w:rsidRDefault="003F1A0A" w:rsidP="00D93C78">
      <w:pPr>
        <w:tabs>
          <w:tab w:val="left" w:pos="10065"/>
        </w:tabs>
        <w:spacing w:line="360" w:lineRule="auto"/>
        <w:jc w:val="both"/>
        <w:rPr>
          <w:b/>
          <w:bCs/>
          <w:lang w:val="en-GB"/>
        </w:rPr>
      </w:pPr>
      <w:r w:rsidRPr="00D93C78">
        <w:rPr>
          <w:b/>
          <w:bCs/>
          <w:lang w:val="en-GB"/>
        </w:rPr>
        <w:t>CH</w:t>
      </w:r>
      <w:r w:rsidRPr="00D93C78">
        <w:rPr>
          <w:b/>
          <w:bCs/>
          <w:vertAlign w:val="subscript"/>
          <w:lang w:val="en-GB"/>
        </w:rPr>
        <w:t>2</w:t>
      </w:r>
      <w:r w:rsidR="002D5559" w:rsidRPr="00D93C78">
        <w:rPr>
          <w:b/>
          <w:bCs/>
          <w:lang w:val="en-GB"/>
        </w:rPr>
        <w:t>=</w:t>
      </w:r>
      <w:r w:rsidRPr="00D93C78">
        <w:rPr>
          <w:b/>
          <w:bCs/>
          <w:lang w:val="en-GB"/>
        </w:rPr>
        <w:t>CH</w:t>
      </w:r>
      <w:r w:rsidR="00B04FCA" w:rsidRPr="00D93C78">
        <w:rPr>
          <w:b/>
          <w:bCs/>
          <w:lang w:val="en-GB"/>
        </w:rPr>
        <w:t>Si</w:t>
      </w:r>
      <w:r w:rsidR="00B04FCA" w:rsidRPr="00D93C78">
        <w:rPr>
          <w:b/>
          <w:bCs/>
          <w:vertAlign w:val="subscript"/>
          <w:lang w:val="en-GB"/>
        </w:rPr>
        <w:t xml:space="preserve"> </w:t>
      </w:r>
      <w:r w:rsidRPr="00D93C78">
        <w:rPr>
          <w:b/>
          <w:bCs/>
          <w:lang w:val="en-GB"/>
        </w:rPr>
        <w:t>(Cl)</w:t>
      </w:r>
      <w:r w:rsidRPr="00D93C78">
        <w:rPr>
          <w:b/>
          <w:bCs/>
          <w:vertAlign w:val="subscript"/>
          <w:lang w:val="en-GB"/>
        </w:rPr>
        <w:t>x</w:t>
      </w:r>
      <w:r w:rsidRPr="00D93C78" w:rsidDel="003F1A0A">
        <w:rPr>
          <w:b/>
          <w:bCs/>
          <w:lang w:val="en-GB"/>
        </w:rPr>
        <w:t xml:space="preserve"> </w:t>
      </w:r>
      <w:r w:rsidR="00B04FCA" w:rsidRPr="00D93C78">
        <w:rPr>
          <w:b/>
          <w:bCs/>
          <w:lang w:val="en-GB"/>
        </w:rPr>
        <w:t>(</w:t>
      </w:r>
      <w:r w:rsidR="009C7720" w:rsidRPr="00D93C78">
        <w:rPr>
          <w:b/>
          <w:bCs/>
          <w:lang w:val="en-GB"/>
        </w:rPr>
        <w:t>Me</w:t>
      </w:r>
      <w:r w:rsidR="00B04FCA" w:rsidRPr="00D93C78">
        <w:rPr>
          <w:b/>
          <w:bCs/>
          <w:lang w:val="en-GB"/>
        </w:rPr>
        <w:t>)</w:t>
      </w:r>
      <w:r w:rsidR="009C7720" w:rsidRPr="00D93C78">
        <w:rPr>
          <w:b/>
          <w:bCs/>
          <w:vertAlign w:val="subscript"/>
          <w:lang w:val="en-GB"/>
        </w:rPr>
        <w:t>z</w:t>
      </w:r>
    </w:p>
    <w:p w:rsidR="00F2271E" w:rsidRPr="00D93C78" w:rsidRDefault="00B04FCA" w:rsidP="00D93C78">
      <w:pPr>
        <w:tabs>
          <w:tab w:val="left" w:pos="10065"/>
        </w:tabs>
        <w:jc w:val="both"/>
        <w:rPr>
          <w:b/>
          <w:bCs/>
          <w:lang w:val="en-GB"/>
        </w:rPr>
      </w:pPr>
      <w:r w:rsidRPr="00D93C78">
        <w:rPr>
          <w:lang w:val="en-GB"/>
        </w:rPr>
        <w:t>Where</w:t>
      </w:r>
      <w:r w:rsidRPr="00D93C78">
        <w:rPr>
          <w:b/>
          <w:bCs/>
          <w:lang w:val="en-GB"/>
        </w:rPr>
        <w:t xml:space="preserve"> </w:t>
      </w:r>
    </w:p>
    <w:p w:rsidR="00B04FCA" w:rsidRPr="00D93C78" w:rsidRDefault="00B04FCA" w:rsidP="00D93C78">
      <w:pPr>
        <w:tabs>
          <w:tab w:val="left" w:pos="10065"/>
        </w:tabs>
        <w:jc w:val="both"/>
        <w:rPr>
          <w:lang w:val="fr-FR"/>
        </w:rPr>
      </w:pPr>
      <w:r w:rsidRPr="00D93C78">
        <w:rPr>
          <w:b/>
          <w:bCs/>
          <w:lang w:val="fr-FR"/>
        </w:rPr>
        <w:t>Cl</w:t>
      </w:r>
      <w:r w:rsidRPr="00D93C78">
        <w:rPr>
          <w:lang w:val="fr-FR"/>
        </w:rPr>
        <w:t xml:space="preserve"> = chlorine, x =  </w:t>
      </w:r>
      <w:r w:rsidR="009C7720" w:rsidRPr="00D93C78">
        <w:rPr>
          <w:lang w:val="fr-FR"/>
        </w:rPr>
        <w:t>2</w:t>
      </w:r>
      <w:r w:rsidR="00F2271E" w:rsidRPr="00D93C78">
        <w:rPr>
          <w:lang w:val="fr-FR"/>
        </w:rPr>
        <w:t xml:space="preserve"> or</w:t>
      </w:r>
      <w:r w:rsidR="009C7720" w:rsidRPr="00D93C78">
        <w:rPr>
          <w:lang w:val="fr-FR"/>
        </w:rPr>
        <w:t xml:space="preserve"> 3 </w:t>
      </w:r>
    </w:p>
    <w:p w:rsidR="00B04FCA" w:rsidRPr="00D93C78" w:rsidRDefault="00B04FCA" w:rsidP="00D93C78">
      <w:pPr>
        <w:tabs>
          <w:tab w:val="left" w:pos="10065"/>
        </w:tabs>
        <w:jc w:val="both"/>
        <w:rPr>
          <w:i/>
          <w:lang w:val="fr-FR"/>
        </w:rPr>
      </w:pPr>
      <w:r w:rsidRPr="00D93C78">
        <w:rPr>
          <w:b/>
          <w:bCs/>
          <w:lang w:val="fr-FR"/>
        </w:rPr>
        <w:t>Si</w:t>
      </w:r>
      <w:r w:rsidRPr="00D93C78">
        <w:rPr>
          <w:lang w:val="fr-FR"/>
        </w:rPr>
        <w:t xml:space="preserve"> = silicon</w:t>
      </w:r>
    </w:p>
    <w:p w:rsidR="007D2749" w:rsidRPr="00D93C78" w:rsidRDefault="009C7720" w:rsidP="00D93C78">
      <w:pPr>
        <w:pStyle w:val="BodyText2"/>
        <w:rPr>
          <w:szCs w:val="24"/>
        </w:rPr>
      </w:pPr>
      <w:r w:rsidRPr="00D93C78">
        <w:rPr>
          <w:b/>
          <w:bCs/>
          <w:szCs w:val="24"/>
        </w:rPr>
        <w:t>Me</w:t>
      </w:r>
      <w:r w:rsidR="00B04FCA" w:rsidRPr="00D93C78">
        <w:rPr>
          <w:szCs w:val="24"/>
        </w:rPr>
        <w:t xml:space="preserve"> = </w:t>
      </w:r>
      <w:r w:rsidR="00E303F9" w:rsidRPr="00D93C78">
        <w:rPr>
          <w:szCs w:val="24"/>
        </w:rPr>
        <w:t>CH</w:t>
      </w:r>
      <w:r w:rsidR="00E303F9" w:rsidRPr="00D93C78">
        <w:rPr>
          <w:szCs w:val="24"/>
          <w:vertAlign w:val="subscript"/>
        </w:rPr>
        <w:t>3</w:t>
      </w:r>
      <w:r w:rsidR="00E303F9" w:rsidRPr="00D93C78">
        <w:rPr>
          <w:szCs w:val="24"/>
        </w:rPr>
        <w:t xml:space="preserve">, z = </w:t>
      </w:r>
      <w:r w:rsidRPr="00D93C78">
        <w:rPr>
          <w:szCs w:val="24"/>
        </w:rPr>
        <w:t>0</w:t>
      </w:r>
      <w:r w:rsidR="001340B2" w:rsidRPr="00D93C78">
        <w:rPr>
          <w:szCs w:val="24"/>
        </w:rPr>
        <w:t xml:space="preserve"> or</w:t>
      </w:r>
      <w:r w:rsidRPr="00D93C78">
        <w:rPr>
          <w:szCs w:val="24"/>
        </w:rPr>
        <w:t xml:space="preserve"> 1</w:t>
      </w:r>
    </w:p>
    <w:p w:rsidR="00B04FCA" w:rsidRPr="00D93C78" w:rsidRDefault="00B04FCA" w:rsidP="00D93C78">
      <w:pPr>
        <w:pStyle w:val="BodyText2"/>
        <w:rPr>
          <w:szCs w:val="24"/>
        </w:rPr>
      </w:pPr>
    </w:p>
    <w:p w:rsidR="00B04FCA" w:rsidRPr="00D93C78" w:rsidRDefault="00B04FCA" w:rsidP="00D93C78">
      <w:pPr>
        <w:pStyle w:val="BodyText"/>
        <w:spacing w:after="240"/>
        <w:rPr>
          <w:szCs w:val="24"/>
        </w:rPr>
      </w:pPr>
      <w:r w:rsidRPr="00D93C78">
        <w:rPr>
          <w:szCs w:val="24"/>
        </w:rPr>
        <w:t xml:space="preserve">The chlorine group is the most active functional group on these molecules and determines many aspects of the behaviour of the category members.  The </w:t>
      </w:r>
      <w:r w:rsidR="00F2271E" w:rsidRPr="00D93C78">
        <w:rPr>
          <w:szCs w:val="24"/>
        </w:rPr>
        <w:t>vinyl</w:t>
      </w:r>
      <w:r w:rsidR="00413FFD" w:rsidRPr="00D93C78">
        <w:rPr>
          <w:szCs w:val="24"/>
        </w:rPr>
        <w:t xml:space="preserve"> chlorosilanes</w:t>
      </w:r>
      <w:r w:rsidR="001B2DB6" w:rsidRPr="00D93C78">
        <w:rPr>
          <w:szCs w:val="24"/>
        </w:rPr>
        <w:t xml:space="preserve"> </w:t>
      </w:r>
      <w:r w:rsidRPr="00D93C78">
        <w:rPr>
          <w:szCs w:val="24"/>
        </w:rPr>
        <w:t xml:space="preserve">undergo rapid hydrolysis in the presence of water to form </w:t>
      </w:r>
      <w:r w:rsidR="00716CC7" w:rsidRPr="00D93C78">
        <w:rPr>
          <w:szCs w:val="24"/>
        </w:rPr>
        <w:t>two</w:t>
      </w:r>
      <w:r w:rsidR="009C7720" w:rsidRPr="00D93C78">
        <w:rPr>
          <w:szCs w:val="24"/>
        </w:rPr>
        <w:t xml:space="preserve"> </w:t>
      </w:r>
      <w:r w:rsidR="00716CC7" w:rsidRPr="00D93C78">
        <w:rPr>
          <w:szCs w:val="24"/>
        </w:rPr>
        <w:t>or</w:t>
      </w:r>
      <w:r w:rsidR="009C7720" w:rsidRPr="00D93C78">
        <w:rPr>
          <w:szCs w:val="24"/>
        </w:rPr>
        <w:t xml:space="preserve"> </w:t>
      </w:r>
      <w:r w:rsidR="00F2271E" w:rsidRPr="00D93C78">
        <w:rPr>
          <w:szCs w:val="24"/>
        </w:rPr>
        <w:t>three</w:t>
      </w:r>
      <w:r w:rsidR="009C7720" w:rsidRPr="00D93C78">
        <w:rPr>
          <w:szCs w:val="24"/>
        </w:rPr>
        <w:t xml:space="preserve"> moles</w:t>
      </w:r>
      <w:r w:rsidRPr="00D93C78">
        <w:rPr>
          <w:szCs w:val="24"/>
        </w:rPr>
        <w:t xml:space="preserve"> of hydrochloric acid and one mole of </w:t>
      </w:r>
      <w:r w:rsidR="009C7720" w:rsidRPr="00D93C78">
        <w:rPr>
          <w:szCs w:val="24"/>
        </w:rPr>
        <w:t>silanediol,</w:t>
      </w:r>
      <w:r w:rsidR="00F2271E" w:rsidRPr="00D93C78">
        <w:rPr>
          <w:szCs w:val="24"/>
        </w:rPr>
        <w:t xml:space="preserve"> or</w:t>
      </w:r>
      <w:r w:rsidR="009C7720" w:rsidRPr="00D93C78">
        <w:rPr>
          <w:szCs w:val="24"/>
        </w:rPr>
        <w:t xml:space="preserve"> silanetriol</w:t>
      </w:r>
      <w:r w:rsidRPr="00D93C78">
        <w:rPr>
          <w:szCs w:val="24"/>
        </w:rPr>
        <w:t>, depending on the parent substance.  Silanols can react to form oligomers and polymer</w:t>
      </w:r>
      <w:r w:rsidR="00271BC4" w:rsidRPr="00D93C78">
        <w:rPr>
          <w:szCs w:val="24"/>
        </w:rPr>
        <w:t>s</w:t>
      </w:r>
      <w:r w:rsidRPr="00D93C78">
        <w:rPr>
          <w:szCs w:val="24"/>
        </w:rPr>
        <w:t xml:space="preserve"> but the rate is dependent on concentration and pH. There are no studies currently available to define these processes under environmentally relevant conditions.</w:t>
      </w:r>
    </w:p>
    <w:p w:rsidR="000274A1" w:rsidRPr="00D93C78" w:rsidRDefault="00C1433D" w:rsidP="00405A21">
      <w:pPr>
        <w:pStyle w:val="Heading2"/>
        <w:numPr>
          <w:ilvl w:val="1"/>
          <w:numId w:val="4"/>
        </w:numPr>
        <w:tabs>
          <w:tab w:val="clear" w:pos="1077"/>
        </w:tabs>
        <w:ind w:left="839" w:hanging="839"/>
        <w:rPr>
          <w:rFonts w:ascii="Times New Roman" w:hAnsi="Times New Roman"/>
          <w:szCs w:val="24"/>
        </w:rPr>
      </w:pPr>
      <w:bookmarkStart w:id="9" w:name="_Toc32726013"/>
      <w:bookmarkStart w:id="10" w:name="_Toc32727196"/>
      <w:bookmarkStart w:id="11" w:name="_Toc43868641"/>
      <w:bookmarkStart w:id="12" w:name="_Toc200358229"/>
      <w:bookmarkStart w:id="13" w:name="_Toc310335170"/>
      <w:r w:rsidRPr="00D93C78">
        <w:rPr>
          <w:rFonts w:ascii="Times New Roman" w:hAnsi="Times New Roman"/>
          <w:szCs w:val="24"/>
        </w:rPr>
        <w:t xml:space="preserve">Identification of the </w:t>
      </w:r>
      <w:bookmarkEnd w:id="9"/>
      <w:bookmarkEnd w:id="10"/>
      <w:bookmarkEnd w:id="11"/>
      <w:bookmarkEnd w:id="12"/>
      <w:r w:rsidR="004D0182" w:rsidRPr="00D93C78">
        <w:rPr>
          <w:rFonts w:ascii="Times New Roman" w:hAnsi="Times New Roman"/>
          <w:szCs w:val="24"/>
        </w:rPr>
        <w:t>Category</w:t>
      </w:r>
      <w:bookmarkEnd w:id="13"/>
    </w:p>
    <w:tbl>
      <w:tblPr>
        <w:tblW w:w="4850" w:type="pct"/>
        <w:tblInd w:w="170" w:type="dxa"/>
        <w:tblLook w:val="0000" w:firstRow="0" w:lastRow="0" w:firstColumn="0" w:lastColumn="0" w:noHBand="0" w:noVBand="0"/>
      </w:tblPr>
      <w:tblGrid>
        <w:gridCol w:w="2441"/>
        <w:gridCol w:w="7118"/>
      </w:tblGrid>
      <w:tr w:rsidR="00D5138E" w:rsidRPr="00D93C78" w:rsidTr="00740E9A">
        <w:tc>
          <w:tcPr>
            <w:tcW w:w="2508" w:type="dxa"/>
          </w:tcPr>
          <w:p w:rsidR="00D5138E" w:rsidRPr="00D93C78" w:rsidRDefault="00D5138E" w:rsidP="00D93C78">
            <w:pPr>
              <w:pStyle w:val="BodyText2"/>
              <w:rPr>
                <w:szCs w:val="24"/>
              </w:rPr>
            </w:pPr>
            <w:bookmarkStart w:id="14" w:name="_Toc32726014"/>
            <w:bookmarkStart w:id="15" w:name="_Toc32727197"/>
            <w:bookmarkStart w:id="16" w:name="_Toc43868642"/>
            <w:bookmarkStart w:id="17" w:name="_Toc200358230"/>
            <w:r w:rsidRPr="00D93C78">
              <w:rPr>
                <w:szCs w:val="24"/>
              </w:rPr>
              <w:t>CAS Number:</w:t>
            </w:r>
          </w:p>
        </w:tc>
        <w:tc>
          <w:tcPr>
            <w:tcW w:w="7347" w:type="dxa"/>
          </w:tcPr>
          <w:p w:rsidR="009C7720" w:rsidRPr="00D93C78" w:rsidRDefault="002050D5" w:rsidP="00D93C78">
            <w:pPr>
              <w:pStyle w:val="BodyText2"/>
              <w:rPr>
                <w:szCs w:val="24"/>
              </w:rPr>
            </w:pPr>
            <w:r w:rsidRPr="00D93C78">
              <w:rPr>
                <w:szCs w:val="24"/>
              </w:rPr>
              <w:t>124-70-9</w:t>
            </w:r>
          </w:p>
          <w:p w:rsidR="009C7720" w:rsidRPr="00D93C78" w:rsidRDefault="00F2271E" w:rsidP="00D93C78">
            <w:pPr>
              <w:pStyle w:val="BodyText2"/>
              <w:rPr>
                <w:szCs w:val="24"/>
              </w:rPr>
            </w:pPr>
            <w:r w:rsidRPr="00D93C78">
              <w:rPr>
                <w:szCs w:val="24"/>
              </w:rPr>
              <w:t>75-94-5</w:t>
            </w:r>
          </w:p>
        </w:tc>
      </w:tr>
      <w:tr w:rsidR="00D5138E" w:rsidRPr="00D93C78" w:rsidTr="00740E9A">
        <w:tc>
          <w:tcPr>
            <w:tcW w:w="2508" w:type="dxa"/>
          </w:tcPr>
          <w:p w:rsidR="00D5138E" w:rsidRPr="00D93C78" w:rsidRDefault="00D5138E" w:rsidP="00D93C78">
            <w:pPr>
              <w:pStyle w:val="BodyText2"/>
              <w:rPr>
                <w:szCs w:val="24"/>
              </w:rPr>
            </w:pPr>
            <w:r w:rsidRPr="00D93C78">
              <w:rPr>
                <w:szCs w:val="24"/>
              </w:rPr>
              <w:t>IUPAC Name:</w:t>
            </w:r>
          </w:p>
        </w:tc>
        <w:tc>
          <w:tcPr>
            <w:tcW w:w="7347" w:type="dxa"/>
          </w:tcPr>
          <w:p w:rsidR="00690D92" w:rsidRPr="00D93C78" w:rsidRDefault="002050D5" w:rsidP="00D93C78">
            <w:pPr>
              <w:pStyle w:val="BodyText2"/>
              <w:rPr>
                <w:szCs w:val="24"/>
              </w:rPr>
            </w:pPr>
            <w:r w:rsidRPr="00D93C78">
              <w:rPr>
                <w:szCs w:val="24"/>
              </w:rPr>
              <w:t>Dichloro</w:t>
            </w:r>
            <w:r w:rsidR="00690D92" w:rsidRPr="00D93C78">
              <w:rPr>
                <w:szCs w:val="24"/>
              </w:rPr>
              <w:t>methyl</w:t>
            </w:r>
            <w:r w:rsidRPr="00D93C78">
              <w:rPr>
                <w:szCs w:val="24"/>
              </w:rPr>
              <w:t>(vinyl)</w:t>
            </w:r>
            <w:r w:rsidR="00690D92" w:rsidRPr="00D93C78">
              <w:rPr>
                <w:szCs w:val="24"/>
              </w:rPr>
              <w:t>silane</w:t>
            </w:r>
          </w:p>
          <w:p w:rsidR="00515F14" w:rsidRPr="00D93C78" w:rsidRDefault="00F2271E" w:rsidP="00D93C78">
            <w:pPr>
              <w:pStyle w:val="BodyText2"/>
              <w:rPr>
                <w:szCs w:val="24"/>
              </w:rPr>
            </w:pPr>
            <w:r w:rsidRPr="00D93C78">
              <w:rPr>
                <w:szCs w:val="24"/>
              </w:rPr>
              <w:t>Trichloro(</w:t>
            </w:r>
            <w:r w:rsidR="00121323" w:rsidRPr="00D93C78">
              <w:rPr>
                <w:szCs w:val="24"/>
              </w:rPr>
              <w:t>ethenyl</w:t>
            </w:r>
            <w:r w:rsidRPr="00D93C78">
              <w:rPr>
                <w:szCs w:val="24"/>
              </w:rPr>
              <w:t>)silane</w:t>
            </w:r>
          </w:p>
        </w:tc>
      </w:tr>
      <w:tr w:rsidR="00D5138E" w:rsidRPr="00D93C78" w:rsidTr="00740E9A">
        <w:tc>
          <w:tcPr>
            <w:tcW w:w="2508" w:type="dxa"/>
          </w:tcPr>
          <w:p w:rsidR="00D5138E" w:rsidRPr="00D93C78" w:rsidRDefault="00D5138E" w:rsidP="00D93C78">
            <w:pPr>
              <w:pStyle w:val="BodyText2"/>
              <w:rPr>
                <w:szCs w:val="24"/>
              </w:rPr>
            </w:pPr>
            <w:r w:rsidRPr="00D93C78">
              <w:rPr>
                <w:szCs w:val="24"/>
              </w:rPr>
              <w:t>Molecular Formula:</w:t>
            </w:r>
          </w:p>
        </w:tc>
        <w:tc>
          <w:tcPr>
            <w:tcW w:w="7347" w:type="dxa"/>
          </w:tcPr>
          <w:p w:rsidR="00341180" w:rsidRPr="00D93C78" w:rsidRDefault="00F2271E" w:rsidP="00D93C78">
            <w:pPr>
              <w:pStyle w:val="BodyText2"/>
              <w:rPr>
                <w:szCs w:val="24"/>
              </w:rPr>
            </w:pPr>
            <w:r w:rsidRPr="00D93C78">
              <w:rPr>
                <w:szCs w:val="24"/>
              </w:rPr>
              <w:t>C</w:t>
            </w:r>
            <w:r w:rsidRPr="00D93C78">
              <w:rPr>
                <w:szCs w:val="24"/>
                <w:vertAlign w:val="subscript"/>
              </w:rPr>
              <w:t>3</w:t>
            </w:r>
            <w:r w:rsidRPr="00D93C78">
              <w:rPr>
                <w:szCs w:val="24"/>
              </w:rPr>
              <w:t>-H</w:t>
            </w:r>
            <w:r w:rsidRPr="00D93C78">
              <w:rPr>
                <w:szCs w:val="24"/>
                <w:vertAlign w:val="subscript"/>
              </w:rPr>
              <w:t>6</w:t>
            </w:r>
            <w:r w:rsidRPr="00D93C78">
              <w:rPr>
                <w:szCs w:val="24"/>
              </w:rPr>
              <w:t>-Cl</w:t>
            </w:r>
            <w:r w:rsidRPr="00D93C78">
              <w:rPr>
                <w:szCs w:val="24"/>
                <w:vertAlign w:val="subscript"/>
              </w:rPr>
              <w:t>2</w:t>
            </w:r>
            <w:r w:rsidRPr="00D93C78">
              <w:rPr>
                <w:szCs w:val="24"/>
              </w:rPr>
              <w:t>-Si</w:t>
            </w:r>
          </w:p>
          <w:p w:rsidR="00F2271E" w:rsidRPr="00D93C78" w:rsidRDefault="00F2271E" w:rsidP="00D93C78">
            <w:pPr>
              <w:pStyle w:val="BodyText2"/>
              <w:rPr>
                <w:szCs w:val="24"/>
                <w:highlight w:val="yellow"/>
              </w:rPr>
            </w:pPr>
            <w:r w:rsidRPr="00D93C78">
              <w:rPr>
                <w:szCs w:val="24"/>
              </w:rPr>
              <w:t>C</w:t>
            </w:r>
            <w:r w:rsidRPr="00D93C78">
              <w:rPr>
                <w:szCs w:val="24"/>
                <w:vertAlign w:val="subscript"/>
              </w:rPr>
              <w:t>2</w:t>
            </w:r>
            <w:r w:rsidRPr="00D93C78">
              <w:rPr>
                <w:szCs w:val="24"/>
              </w:rPr>
              <w:t>-H</w:t>
            </w:r>
            <w:r w:rsidRPr="00D93C78">
              <w:rPr>
                <w:szCs w:val="24"/>
                <w:vertAlign w:val="subscript"/>
              </w:rPr>
              <w:t>3</w:t>
            </w:r>
            <w:r w:rsidRPr="00D93C78">
              <w:rPr>
                <w:szCs w:val="24"/>
              </w:rPr>
              <w:t>-Cl</w:t>
            </w:r>
            <w:r w:rsidRPr="00D93C78">
              <w:rPr>
                <w:szCs w:val="24"/>
                <w:vertAlign w:val="subscript"/>
              </w:rPr>
              <w:t>3</w:t>
            </w:r>
            <w:r w:rsidRPr="00D93C78">
              <w:rPr>
                <w:szCs w:val="24"/>
              </w:rPr>
              <w:t>-Si</w:t>
            </w:r>
          </w:p>
        </w:tc>
      </w:tr>
      <w:tr w:rsidR="00D5138E" w:rsidRPr="00D93C78" w:rsidTr="00740E9A">
        <w:tc>
          <w:tcPr>
            <w:tcW w:w="2508" w:type="dxa"/>
          </w:tcPr>
          <w:p w:rsidR="00D5138E" w:rsidRPr="00D93C78" w:rsidRDefault="00D5138E" w:rsidP="00D93C78">
            <w:pPr>
              <w:pStyle w:val="BodyText2"/>
              <w:rPr>
                <w:szCs w:val="24"/>
              </w:rPr>
            </w:pPr>
            <w:r w:rsidRPr="00D93C78">
              <w:rPr>
                <w:szCs w:val="24"/>
              </w:rPr>
              <w:t>Structural Formula:</w:t>
            </w:r>
          </w:p>
        </w:tc>
        <w:tc>
          <w:tcPr>
            <w:tcW w:w="7347" w:type="dxa"/>
          </w:tcPr>
          <w:p w:rsidR="00515F14" w:rsidRPr="00D93C78" w:rsidRDefault="00515F14" w:rsidP="00D93C78">
            <w:pPr>
              <w:pStyle w:val="BodyText2"/>
              <w:rPr>
                <w:szCs w:val="24"/>
              </w:rPr>
            </w:pPr>
          </w:p>
          <w:p w:rsidR="002050D5" w:rsidRPr="00D93C78" w:rsidRDefault="002050D5" w:rsidP="00D93C78">
            <w:pPr>
              <w:pStyle w:val="BodyText2"/>
              <w:rPr>
                <w:szCs w:val="24"/>
              </w:rPr>
            </w:pPr>
            <w:r w:rsidRPr="00D93C78">
              <w:rPr>
                <w:noProof/>
                <w:szCs w:val="24"/>
                <w:lang w:eastAsia="en-GB"/>
              </w:rPr>
              <w:drawing>
                <wp:inline distT="0" distB="0" distL="0" distR="0" wp14:anchorId="34F796DB" wp14:editId="19632B93">
                  <wp:extent cx="1655618" cy="1655618"/>
                  <wp:effectExtent l="0" t="0" r="1905" b="1905"/>
                  <wp:docPr id="2" name="Picture 2" descr="http://chem.sis.nlm.nih.gov/chemidplus/RenderImage?maxscale=30&amp;width=200&amp;height=200&amp;superlistid=0000124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hem.sis.nlm.nih.gov/chemidplus/RenderImage?maxscale=30&amp;width=200&amp;height=200&amp;superlistid=000012470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655618" cy="1655618"/>
                          </a:xfrm>
                          <a:prstGeom prst="rect">
                            <a:avLst/>
                          </a:prstGeom>
                          <a:noFill/>
                          <a:ln>
                            <a:noFill/>
                          </a:ln>
                        </pic:spPr>
                      </pic:pic>
                    </a:graphicData>
                  </a:graphic>
                </wp:inline>
              </w:drawing>
            </w:r>
          </w:p>
          <w:p w:rsidR="00341180" w:rsidRPr="00D93C78" w:rsidRDefault="002050D5" w:rsidP="00D93C78">
            <w:pPr>
              <w:pStyle w:val="BodyText2"/>
              <w:rPr>
                <w:szCs w:val="24"/>
              </w:rPr>
            </w:pPr>
            <w:r w:rsidRPr="00D93C78">
              <w:rPr>
                <w:szCs w:val="24"/>
              </w:rPr>
              <w:t>CAS N</w:t>
            </w:r>
            <w:r w:rsidR="00653AEA" w:rsidRPr="00D93C78">
              <w:rPr>
                <w:szCs w:val="24"/>
              </w:rPr>
              <w:t>o</w:t>
            </w:r>
            <w:r w:rsidRPr="00D93C78">
              <w:rPr>
                <w:szCs w:val="24"/>
              </w:rPr>
              <w:t>. 124-70-9</w:t>
            </w:r>
          </w:p>
          <w:p w:rsidR="00F2271E" w:rsidRPr="00D93C78" w:rsidRDefault="00F2271E" w:rsidP="00D93C78">
            <w:pPr>
              <w:pStyle w:val="BodyText2"/>
              <w:rPr>
                <w:szCs w:val="24"/>
              </w:rPr>
            </w:pPr>
            <w:r w:rsidRPr="00D93C78">
              <w:rPr>
                <w:noProof/>
                <w:szCs w:val="24"/>
                <w:lang w:eastAsia="en-GB"/>
              </w:rPr>
              <w:drawing>
                <wp:inline distT="0" distB="0" distL="0" distR="0" wp14:anchorId="0C8B5BFB" wp14:editId="59545ACA">
                  <wp:extent cx="1905000" cy="1516380"/>
                  <wp:effectExtent l="19050" t="0" r="0" b="0"/>
                  <wp:docPr id="7" name="Picture 7" descr="http://chem.sis.nlm.nih.gov/chemidplus/RenderImage?maxscale=30&amp;width=200&amp;height=200&amp;superlistid=0000075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chem.sis.nlm.nih.gov/chemidplus/RenderImage?maxscale=30&amp;width=200&amp;height=200&amp;superlistid=000007594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05000" cy="1516380"/>
                          </a:xfrm>
                          <a:prstGeom prst="rect">
                            <a:avLst/>
                          </a:prstGeom>
                          <a:noFill/>
                          <a:ln>
                            <a:noFill/>
                          </a:ln>
                        </pic:spPr>
                      </pic:pic>
                    </a:graphicData>
                  </a:graphic>
                </wp:inline>
              </w:drawing>
            </w:r>
          </w:p>
          <w:p w:rsidR="00687FEB" w:rsidRPr="00D93C78" w:rsidRDefault="00F2271E" w:rsidP="00D93C78">
            <w:pPr>
              <w:pStyle w:val="BodyText2"/>
              <w:rPr>
                <w:szCs w:val="24"/>
              </w:rPr>
            </w:pPr>
            <w:r w:rsidRPr="00D93C78">
              <w:rPr>
                <w:szCs w:val="24"/>
              </w:rPr>
              <w:t>CAS No. 75-94-5</w:t>
            </w:r>
          </w:p>
        </w:tc>
      </w:tr>
      <w:tr w:rsidR="00D5138E" w:rsidRPr="00D93C78" w:rsidTr="00740E9A">
        <w:tc>
          <w:tcPr>
            <w:tcW w:w="2508" w:type="dxa"/>
          </w:tcPr>
          <w:p w:rsidR="00D5138E" w:rsidRPr="00D93C78" w:rsidRDefault="00D5138E" w:rsidP="00D93C78">
            <w:pPr>
              <w:pStyle w:val="BodyText2"/>
              <w:rPr>
                <w:szCs w:val="24"/>
              </w:rPr>
            </w:pPr>
            <w:r w:rsidRPr="00D93C78">
              <w:rPr>
                <w:szCs w:val="24"/>
              </w:rPr>
              <w:t>Molecular Weight:</w:t>
            </w:r>
          </w:p>
        </w:tc>
        <w:tc>
          <w:tcPr>
            <w:tcW w:w="7347" w:type="dxa"/>
          </w:tcPr>
          <w:p w:rsidR="00653AEA" w:rsidRPr="00D93C78" w:rsidRDefault="00653AEA" w:rsidP="00D93C78">
            <w:pPr>
              <w:pStyle w:val="BodyText2"/>
              <w:rPr>
                <w:szCs w:val="24"/>
              </w:rPr>
            </w:pPr>
          </w:p>
          <w:p w:rsidR="002050D5" w:rsidRPr="00D93C78" w:rsidRDefault="002050D5" w:rsidP="00D93C78">
            <w:pPr>
              <w:pStyle w:val="BodyText2"/>
              <w:rPr>
                <w:szCs w:val="24"/>
              </w:rPr>
            </w:pPr>
            <w:r w:rsidRPr="00D93C78">
              <w:rPr>
                <w:szCs w:val="24"/>
              </w:rPr>
              <w:t>141.1</w:t>
            </w:r>
          </w:p>
          <w:p w:rsidR="00690D92" w:rsidRPr="00D93C78" w:rsidRDefault="00F2271E" w:rsidP="00D93C78">
            <w:pPr>
              <w:pStyle w:val="BodyText2"/>
              <w:rPr>
                <w:szCs w:val="24"/>
              </w:rPr>
            </w:pPr>
            <w:r w:rsidRPr="00D93C78">
              <w:rPr>
                <w:szCs w:val="24"/>
              </w:rPr>
              <w:t>161.5</w:t>
            </w:r>
          </w:p>
        </w:tc>
      </w:tr>
      <w:tr w:rsidR="00D5138E" w:rsidRPr="00D93C78" w:rsidTr="00740E9A">
        <w:tc>
          <w:tcPr>
            <w:tcW w:w="2508" w:type="dxa"/>
          </w:tcPr>
          <w:p w:rsidR="00D5138E" w:rsidRPr="00D93C78" w:rsidRDefault="00D5138E" w:rsidP="00D93C78">
            <w:pPr>
              <w:pStyle w:val="BodyText"/>
              <w:rPr>
                <w:szCs w:val="24"/>
              </w:rPr>
            </w:pPr>
            <w:r w:rsidRPr="00D93C78">
              <w:rPr>
                <w:szCs w:val="24"/>
              </w:rPr>
              <w:t>Synonyms:</w:t>
            </w:r>
          </w:p>
        </w:tc>
        <w:tc>
          <w:tcPr>
            <w:tcW w:w="7347" w:type="dxa"/>
          </w:tcPr>
          <w:p w:rsidR="00690D92" w:rsidRPr="00D93C78" w:rsidRDefault="00690D92" w:rsidP="00D93C78">
            <w:pPr>
              <w:pStyle w:val="BodyText"/>
              <w:spacing w:after="0"/>
              <w:rPr>
                <w:szCs w:val="24"/>
              </w:rPr>
            </w:pPr>
            <w:r w:rsidRPr="00D93C78">
              <w:rPr>
                <w:szCs w:val="24"/>
              </w:rPr>
              <w:t>Dichloromethyl</w:t>
            </w:r>
            <w:r w:rsidR="002050D5" w:rsidRPr="00D93C78">
              <w:rPr>
                <w:szCs w:val="24"/>
              </w:rPr>
              <w:t>(vinyl)</w:t>
            </w:r>
            <w:r w:rsidRPr="00D93C78">
              <w:rPr>
                <w:szCs w:val="24"/>
              </w:rPr>
              <w:t>silane:</w:t>
            </w:r>
          </w:p>
          <w:p w:rsidR="002050D5" w:rsidRPr="00D93C78" w:rsidRDefault="002050D5" w:rsidP="00D93C78">
            <w:pPr>
              <w:pStyle w:val="BodyText"/>
              <w:spacing w:after="0"/>
              <w:rPr>
                <w:szCs w:val="24"/>
              </w:rPr>
            </w:pPr>
            <w:r w:rsidRPr="00D93C78">
              <w:rPr>
                <w:szCs w:val="24"/>
              </w:rPr>
              <w:t xml:space="preserve">Dichloromethylvinylsilane </w:t>
            </w:r>
          </w:p>
          <w:p w:rsidR="002050D5" w:rsidRPr="00D93C78" w:rsidRDefault="002050D5" w:rsidP="00D93C78">
            <w:pPr>
              <w:pStyle w:val="BodyText"/>
              <w:spacing w:after="0"/>
              <w:rPr>
                <w:szCs w:val="24"/>
              </w:rPr>
            </w:pPr>
            <w:r w:rsidRPr="00D93C78">
              <w:rPr>
                <w:szCs w:val="24"/>
              </w:rPr>
              <w:t xml:space="preserve">Methyldichlorovinylsilane </w:t>
            </w:r>
          </w:p>
          <w:p w:rsidR="002050D5" w:rsidRPr="00D93C78" w:rsidRDefault="002050D5" w:rsidP="00D93C78">
            <w:pPr>
              <w:pStyle w:val="BodyText"/>
              <w:spacing w:after="0"/>
              <w:rPr>
                <w:szCs w:val="24"/>
              </w:rPr>
            </w:pPr>
            <w:r w:rsidRPr="00D93C78">
              <w:rPr>
                <w:szCs w:val="24"/>
              </w:rPr>
              <w:t>Vinylmethyldichlorosilane</w:t>
            </w:r>
          </w:p>
          <w:p w:rsidR="00121323" w:rsidRPr="00D93C78" w:rsidRDefault="002E0BB2" w:rsidP="00D93C78">
            <w:pPr>
              <w:pStyle w:val="BodyText"/>
              <w:spacing w:after="0"/>
              <w:rPr>
                <w:b/>
                <w:szCs w:val="24"/>
              </w:rPr>
            </w:pPr>
            <w:r w:rsidRPr="00D93C78">
              <w:rPr>
                <w:b/>
                <w:szCs w:val="24"/>
              </w:rPr>
              <w:t>(VDCS)</w:t>
            </w:r>
          </w:p>
          <w:p w:rsidR="00690D92" w:rsidRPr="00D93C78" w:rsidRDefault="00690D92" w:rsidP="00D93C78">
            <w:pPr>
              <w:pStyle w:val="BodyText"/>
              <w:spacing w:after="0"/>
              <w:rPr>
                <w:szCs w:val="24"/>
              </w:rPr>
            </w:pPr>
          </w:p>
          <w:p w:rsidR="00121323" w:rsidRPr="00D93C78" w:rsidRDefault="00121323" w:rsidP="00D93C78">
            <w:pPr>
              <w:pStyle w:val="BodyText"/>
              <w:spacing w:after="0"/>
              <w:rPr>
                <w:szCs w:val="24"/>
              </w:rPr>
            </w:pPr>
            <w:r w:rsidRPr="00D93C78">
              <w:rPr>
                <w:szCs w:val="24"/>
              </w:rPr>
              <w:t>Trichlorovinylsilane:</w:t>
            </w:r>
          </w:p>
          <w:p w:rsidR="00F2271E" w:rsidRPr="00D93C78" w:rsidRDefault="00F2271E" w:rsidP="00D93C78">
            <w:pPr>
              <w:pStyle w:val="BodyText"/>
              <w:spacing w:after="0"/>
              <w:rPr>
                <w:szCs w:val="24"/>
              </w:rPr>
            </w:pPr>
            <w:r w:rsidRPr="00D93C78">
              <w:rPr>
                <w:szCs w:val="24"/>
              </w:rPr>
              <w:t>A</w:t>
            </w:r>
            <w:r w:rsidR="00121323" w:rsidRPr="00D93C78">
              <w:rPr>
                <w:szCs w:val="24"/>
              </w:rPr>
              <w:t>-</w:t>
            </w:r>
            <w:r w:rsidRPr="00D93C78">
              <w:rPr>
                <w:szCs w:val="24"/>
              </w:rPr>
              <w:t xml:space="preserve">150 </w:t>
            </w:r>
          </w:p>
          <w:p w:rsidR="00F2271E" w:rsidRPr="00D93C78" w:rsidRDefault="00F2271E" w:rsidP="00D93C78">
            <w:pPr>
              <w:pStyle w:val="BodyText"/>
              <w:spacing w:after="0"/>
              <w:rPr>
                <w:szCs w:val="24"/>
              </w:rPr>
            </w:pPr>
            <w:r w:rsidRPr="00D93C78">
              <w:rPr>
                <w:szCs w:val="24"/>
              </w:rPr>
              <w:t>A</w:t>
            </w:r>
            <w:r w:rsidR="00121323" w:rsidRPr="00D93C78">
              <w:rPr>
                <w:szCs w:val="24"/>
              </w:rPr>
              <w:t>-</w:t>
            </w:r>
            <w:r w:rsidRPr="00D93C78">
              <w:rPr>
                <w:szCs w:val="24"/>
              </w:rPr>
              <w:t xml:space="preserve">150 (VAN) </w:t>
            </w:r>
          </w:p>
          <w:p w:rsidR="00F2271E" w:rsidRPr="00D93C78" w:rsidRDefault="00F2271E" w:rsidP="00D93C78">
            <w:pPr>
              <w:pStyle w:val="BodyText"/>
              <w:spacing w:after="0"/>
              <w:rPr>
                <w:szCs w:val="24"/>
              </w:rPr>
            </w:pPr>
            <w:r w:rsidRPr="00D93C78">
              <w:rPr>
                <w:szCs w:val="24"/>
              </w:rPr>
              <w:t>A</w:t>
            </w:r>
            <w:r w:rsidR="00121323" w:rsidRPr="00D93C78">
              <w:rPr>
                <w:szCs w:val="24"/>
              </w:rPr>
              <w:t>-</w:t>
            </w:r>
            <w:r w:rsidRPr="00D93C78">
              <w:rPr>
                <w:szCs w:val="24"/>
              </w:rPr>
              <w:t xml:space="preserve">150 (silane) </w:t>
            </w:r>
          </w:p>
          <w:p w:rsidR="00F2271E" w:rsidRPr="00D93C78" w:rsidRDefault="00F2271E" w:rsidP="00D93C78">
            <w:pPr>
              <w:pStyle w:val="BodyText"/>
              <w:spacing w:after="0"/>
              <w:rPr>
                <w:szCs w:val="24"/>
              </w:rPr>
            </w:pPr>
            <w:r w:rsidRPr="00D93C78">
              <w:rPr>
                <w:szCs w:val="24"/>
              </w:rPr>
              <w:t xml:space="preserve">Silane, trichloroethenyl- </w:t>
            </w:r>
          </w:p>
          <w:p w:rsidR="00F2271E" w:rsidRPr="00D93C78" w:rsidRDefault="00F2271E" w:rsidP="00D93C78">
            <w:pPr>
              <w:pStyle w:val="BodyText"/>
              <w:spacing w:after="0"/>
              <w:rPr>
                <w:szCs w:val="24"/>
              </w:rPr>
            </w:pPr>
            <w:r w:rsidRPr="00D93C78">
              <w:rPr>
                <w:szCs w:val="24"/>
              </w:rPr>
              <w:t xml:space="preserve">Silane, trichlorovinyl- </w:t>
            </w:r>
          </w:p>
          <w:p w:rsidR="00F2271E" w:rsidRPr="00D93C78" w:rsidRDefault="00F2271E" w:rsidP="00D93C78">
            <w:pPr>
              <w:pStyle w:val="BodyText"/>
              <w:spacing w:after="0"/>
              <w:rPr>
                <w:szCs w:val="24"/>
              </w:rPr>
            </w:pPr>
            <w:r w:rsidRPr="00D93C78">
              <w:rPr>
                <w:szCs w:val="24"/>
              </w:rPr>
              <w:t xml:space="preserve">Silane, vinyl trichloro A-150 </w:t>
            </w:r>
          </w:p>
          <w:p w:rsidR="00F2271E" w:rsidRPr="00D93C78" w:rsidRDefault="00F2271E" w:rsidP="00D93C78">
            <w:pPr>
              <w:pStyle w:val="BodyText"/>
              <w:spacing w:after="0"/>
              <w:rPr>
                <w:szCs w:val="24"/>
              </w:rPr>
            </w:pPr>
            <w:r w:rsidRPr="00D93C78">
              <w:rPr>
                <w:szCs w:val="24"/>
              </w:rPr>
              <w:t xml:space="preserve">Silane, vinyltrichloro- </w:t>
            </w:r>
          </w:p>
          <w:p w:rsidR="00F2271E" w:rsidRPr="00D93C78" w:rsidRDefault="00F2271E" w:rsidP="00D93C78">
            <w:pPr>
              <w:pStyle w:val="BodyText"/>
              <w:spacing w:after="0"/>
              <w:rPr>
                <w:szCs w:val="24"/>
              </w:rPr>
            </w:pPr>
            <w:r w:rsidRPr="00D93C78">
              <w:rPr>
                <w:szCs w:val="24"/>
              </w:rPr>
              <w:t xml:space="preserve">Trichloro(vinyl)silane </w:t>
            </w:r>
          </w:p>
          <w:p w:rsidR="00F2271E" w:rsidRPr="00D93C78" w:rsidRDefault="00F2271E" w:rsidP="00D93C78">
            <w:pPr>
              <w:pStyle w:val="BodyText"/>
              <w:spacing w:after="0"/>
              <w:rPr>
                <w:szCs w:val="24"/>
              </w:rPr>
            </w:pPr>
            <w:r w:rsidRPr="00D93C78">
              <w:rPr>
                <w:szCs w:val="24"/>
              </w:rPr>
              <w:t xml:space="preserve">Trichlorovinyl silicane </w:t>
            </w:r>
          </w:p>
          <w:p w:rsidR="00F2271E" w:rsidRPr="00D93C78" w:rsidRDefault="00F2271E" w:rsidP="00D93C78">
            <w:pPr>
              <w:pStyle w:val="BodyText"/>
              <w:spacing w:after="0"/>
              <w:rPr>
                <w:szCs w:val="24"/>
              </w:rPr>
            </w:pPr>
            <w:r w:rsidRPr="00D93C78">
              <w:rPr>
                <w:szCs w:val="24"/>
              </w:rPr>
              <w:t xml:space="preserve">Trichlorovinylsilicon </w:t>
            </w:r>
          </w:p>
          <w:p w:rsidR="00F2271E" w:rsidRPr="00D93C78" w:rsidRDefault="00F2271E" w:rsidP="00D93C78">
            <w:pPr>
              <w:pStyle w:val="BodyText"/>
              <w:spacing w:after="0"/>
              <w:rPr>
                <w:szCs w:val="24"/>
              </w:rPr>
            </w:pPr>
            <w:r w:rsidRPr="00D93C78">
              <w:rPr>
                <w:szCs w:val="24"/>
              </w:rPr>
              <w:t xml:space="preserve">Union carbide A-150 </w:t>
            </w:r>
          </w:p>
          <w:p w:rsidR="00F2271E" w:rsidRPr="00D93C78" w:rsidRDefault="00F2271E" w:rsidP="00D93C78">
            <w:pPr>
              <w:pStyle w:val="BodyText"/>
              <w:spacing w:after="0"/>
              <w:rPr>
                <w:szCs w:val="24"/>
              </w:rPr>
            </w:pPr>
            <w:r w:rsidRPr="00D93C78">
              <w:rPr>
                <w:szCs w:val="24"/>
              </w:rPr>
              <w:t xml:space="preserve">Vinylsilicon trichloride </w:t>
            </w:r>
          </w:p>
          <w:p w:rsidR="00F2271E" w:rsidRPr="00D93C78" w:rsidRDefault="00F2271E" w:rsidP="00D93C78">
            <w:pPr>
              <w:pStyle w:val="BodyText"/>
              <w:spacing w:after="0"/>
              <w:rPr>
                <w:szCs w:val="24"/>
              </w:rPr>
            </w:pPr>
            <w:r w:rsidRPr="00D93C78">
              <w:rPr>
                <w:szCs w:val="24"/>
              </w:rPr>
              <w:t xml:space="preserve">Vinyltrichlorosilane </w:t>
            </w:r>
          </w:p>
          <w:p w:rsidR="00F2271E" w:rsidRPr="00D93C78" w:rsidRDefault="00121323" w:rsidP="00D93C78">
            <w:pPr>
              <w:pStyle w:val="BodyText"/>
              <w:spacing w:after="0"/>
              <w:rPr>
                <w:b/>
                <w:szCs w:val="24"/>
              </w:rPr>
            </w:pPr>
            <w:r w:rsidRPr="00D93C78">
              <w:rPr>
                <w:b/>
                <w:szCs w:val="24"/>
              </w:rPr>
              <w:t>(VTCS)</w:t>
            </w:r>
          </w:p>
        </w:tc>
      </w:tr>
    </w:tbl>
    <w:p w:rsidR="000274A1" w:rsidRPr="00D93C78" w:rsidRDefault="00C1433D" w:rsidP="00405A21">
      <w:pPr>
        <w:pStyle w:val="Heading2"/>
        <w:numPr>
          <w:ilvl w:val="1"/>
          <w:numId w:val="4"/>
        </w:numPr>
        <w:tabs>
          <w:tab w:val="clear" w:pos="1077"/>
        </w:tabs>
        <w:ind w:left="839" w:hanging="839"/>
        <w:rPr>
          <w:rFonts w:ascii="Times New Roman" w:hAnsi="Times New Roman"/>
          <w:szCs w:val="24"/>
        </w:rPr>
      </w:pPr>
      <w:bookmarkStart w:id="18" w:name="_Toc310335171"/>
      <w:r w:rsidRPr="00D93C78">
        <w:rPr>
          <w:rFonts w:ascii="Times New Roman" w:hAnsi="Times New Roman"/>
          <w:szCs w:val="24"/>
        </w:rPr>
        <w:t>Purity/Impurities/Additives</w:t>
      </w:r>
      <w:bookmarkEnd w:id="14"/>
      <w:bookmarkEnd w:id="15"/>
      <w:bookmarkEnd w:id="16"/>
      <w:bookmarkEnd w:id="17"/>
      <w:bookmarkEnd w:id="18"/>
    </w:p>
    <w:p w:rsidR="00C1433D" w:rsidRPr="00D93C78" w:rsidRDefault="00F0220E" w:rsidP="00D93C78">
      <w:pPr>
        <w:pStyle w:val="BodyText"/>
        <w:rPr>
          <w:szCs w:val="24"/>
        </w:rPr>
      </w:pPr>
      <w:r w:rsidRPr="00D93C78">
        <w:rPr>
          <w:szCs w:val="24"/>
        </w:rPr>
        <w:t>B</w:t>
      </w:r>
      <w:r w:rsidR="00C1433D" w:rsidRPr="00D93C78">
        <w:rPr>
          <w:szCs w:val="24"/>
        </w:rPr>
        <w:t xml:space="preserve">ased on a survey conducted by the SEHSC, the purity for </w:t>
      </w:r>
      <w:r w:rsidR="002F3FF5" w:rsidRPr="00D93C78">
        <w:rPr>
          <w:szCs w:val="24"/>
        </w:rPr>
        <w:t>th</w:t>
      </w:r>
      <w:r w:rsidR="007B6A47" w:rsidRPr="00D93C78">
        <w:rPr>
          <w:szCs w:val="24"/>
        </w:rPr>
        <w:t>ese</w:t>
      </w:r>
      <w:r w:rsidR="002F3FF5" w:rsidRPr="00D93C78">
        <w:rPr>
          <w:szCs w:val="24"/>
        </w:rPr>
        <w:t xml:space="preserve"> substance</w:t>
      </w:r>
      <w:r w:rsidR="007B6A47" w:rsidRPr="00D93C78">
        <w:rPr>
          <w:szCs w:val="24"/>
        </w:rPr>
        <w:t>s</w:t>
      </w:r>
      <w:r w:rsidRPr="00D93C78">
        <w:rPr>
          <w:szCs w:val="24"/>
        </w:rPr>
        <w:t>, and impurities,</w:t>
      </w:r>
      <w:r w:rsidR="002F3FF5" w:rsidRPr="00D93C78">
        <w:rPr>
          <w:szCs w:val="24"/>
        </w:rPr>
        <w:t xml:space="preserve"> </w:t>
      </w:r>
      <w:r w:rsidRPr="00D93C78">
        <w:rPr>
          <w:szCs w:val="24"/>
        </w:rPr>
        <w:t>is</w:t>
      </w:r>
      <w:r w:rsidR="00C1433D" w:rsidRPr="00D93C78">
        <w:rPr>
          <w:szCs w:val="24"/>
        </w:rPr>
        <w:t xml:space="preserve"> </w:t>
      </w:r>
      <w:r w:rsidRPr="00D93C78">
        <w:rPr>
          <w:szCs w:val="24"/>
        </w:rPr>
        <w:t>provided</w:t>
      </w:r>
      <w:r w:rsidR="00C1433D" w:rsidRPr="00D93C78">
        <w:rPr>
          <w:szCs w:val="24"/>
        </w:rPr>
        <w:t xml:space="preserve"> (Guerrero, 201</w:t>
      </w:r>
      <w:r w:rsidRPr="00D93C78">
        <w:rPr>
          <w:szCs w:val="24"/>
        </w:rPr>
        <w:t>2</w:t>
      </w:r>
      <w:r w:rsidR="00C1433D" w:rsidRPr="00D93C78">
        <w:rPr>
          <w:szCs w:val="24"/>
        </w:rPr>
        <w:t>).</w:t>
      </w:r>
    </w:p>
    <w:tbl>
      <w:tblPr>
        <w:tblStyle w:val="TableGrid"/>
        <w:tblW w:w="4850" w:type="pct"/>
        <w:tblInd w:w="17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941"/>
        <w:gridCol w:w="1589"/>
        <w:gridCol w:w="6029"/>
      </w:tblGrid>
      <w:tr w:rsidR="004F5FB9" w:rsidRPr="00D93C78" w:rsidTr="005123A4">
        <w:tc>
          <w:tcPr>
            <w:tcW w:w="9855" w:type="dxa"/>
            <w:gridSpan w:val="3"/>
            <w:tcBorders>
              <w:top w:val="single" w:sz="12" w:space="0" w:color="000000"/>
              <w:bottom w:val="single" w:sz="12" w:space="0" w:color="000000"/>
            </w:tcBorders>
          </w:tcPr>
          <w:p w:rsidR="004F5FB9" w:rsidRPr="005123A4" w:rsidRDefault="004F5FB9" w:rsidP="005123A4">
            <w:pPr>
              <w:pStyle w:val="BodyText"/>
              <w:spacing w:after="0"/>
              <w:jc w:val="center"/>
              <w:rPr>
                <w:b/>
                <w:sz w:val="20"/>
              </w:rPr>
            </w:pPr>
            <w:r w:rsidRPr="005123A4">
              <w:rPr>
                <w:b/>
                <w:sz w:val="20"/>
              </w:rPr>
              <w:t>Impurities</w:t>
            </w:r>
          </w:p>
        </w:tc>
      </w:tr>
      <w:tr w:rsidR="00653AEA" w:rsidRPr="00D93C78" w:rsidTr="005123A4">
        <w:tc>
          <w:tcPr>
            <w:tcW w:w="1998" w:type="dxa"/>
            <w:tcBorders>
              <w:top w:val="single" w:sz="12" w:space="0" w:color="000000"/>
            </w:tcBorders>
          </w:tcPr>
          <w:p w:rsidR="004F5FB9" w:rsidRPr="005123A4" w:rsidRDefault="004F5FB9" w:rsidP="005123A4">
            <w:pPr>
              <w:pStyle w:val="BodyText"/>
              <w:spacing w:after="0"/>
              <w:jc w:val="center"/>
              <w:rPr>
                <w:b/>
                <w:sz w:val="20"/>
              </w:rPr>
            </w:pPr>
            <w:r w:rsidRPr="005123A4">
              <w:rPr>
                <w:b/>
                <w:sz w:val="20"/>
              </w:rPr>
              <w:t>VDCS</w:t>
            </w:r>
          </w:p>
          <w:p w:rsidR="00653AEA" w:rsidRPr="005123A4" w:rsidRDefault="004F5FB9" w:rsidP="005123A4">
            <w:pPr>
              <w:pStyle w:val="BodyText"/>
              <w:spacing w:after="0"/>
              <w:jc w:val="center"/>
              <w:rPr>
                <w:sz w:val="20"/>
              </w:rPr>
            </w:pPr>
            <w:r w:rsidRPr="005123A4">
              <w:rPr>
                <w:sz w:val="20"/>
              </w:rPr>
              <w:t>(Purity &gt; 98.5%)</w:t>
            </w:r>
          </w:p>
        </w:tc>
        <w:tc>
          <w:tcPr>
            <w:tcW w:w="1634" w:type="dxa"/>
            <w:tcBorders>
              <w:top w:val="single" w:sz="12" w:space="0" w:color="000000"/>
            </w:tcBorders>
          </w:tcPr>
          <w:p w:rsidR="00653AEA" w:rsidRPr="005123A4" w:rsidRDefault="00653AEA" w:rsidP="005123A4">
            <w:pPr>
              <w:pStyle w:val="BodyText"/>
              <w:spacing w:after="0"/>
              <w:jc w:val="center"/>
              <w:rPr>
                <w:sz w:val="20"/>
              </w:rPr>
            </w:pPr>
            <w:r w:rsidRPr="005123A4">
              <w:rPr>
                <w:sz w:val="20"/>
              </w:rPr>
              <w:t>&lt;0.5%</w:t>
            </w:r>
          </w:p>
        </w:tc>
        <w:tc>
          <w:tcPr>
            <w:tcW w:w="6223" w:type="dxa"/>
            <w:tcBorders>
              <w:top w:val="single" w:sz="12" w:space="0" w:color="000000"/>
            </w:tcBorders>
          </w:tcPr>
          <w:p w:rsidR="00653AEA" w:rsidRPr="005123A4" w:rsidRDefault="004F5FB9" w:rsidP="005123A4">
            <w:pPr>
              <w:pStyle w:val="BodyText"/>
              <w:spacing w:after="0"/>
              <w:jc w:val="center"/>
              <w:rPr>
                <w:sz w:val="20"/>
              </w:rPr>
            </w:pPr>
            <w:r w:rsidRPr="005123A4">
              <w:rPr>
                <w:sz w:val="20"/>
              </w:rPr>
              <w:t>1,3-Dichloro-1,3-diethenyl-1,3-dimethyldisiloxane (CAS No. 15948-19-3)</w:t>
            </w:r>
          </w:p>
        </w:tc>
      </w:tr>
      <w:tr w:rsidR="004F5FB9" w:rsidRPr="00D93C78" w:rsidTr="005123A4">
        <w:tc>
          <w:tcPr>
            <w:tcW w:w="1998" w:type="dxa"/>
          </w:tcPr>
          <w:p w:rsidR="004F5FB9" w:rsidRPr="005123A4" w:rsidRDefault="004F5FB9" w:rsidP="005123A4">
            <w:pPr>
              <w:pStyle w:val="BodyText"/>
              <w:spacing w:after="0"/>
              <w:jc w:val="center"/>
              <w:rPr>
                <w:sz w:val="20"/>
              </w:rPr>
            </w:pPr>
          </w:p>
        </w:tc>
        <w:tc>
          <w:tcPr>
            <w:tcW w:w="1634" w:type="dxa"/>
          </w:tcPr>
          <w:p w:rsidR="004F5FB9" w:rsidRPr="005123A4" w:rsidRDefault="004F5FB9" w:rsidP="005123A4">
            <w:pPr>
              <w:pStyle w:val="BodyText"/>
              <w:spacing w:after="0"/>
              <w:jc w:val="center"/>
              <w:rPr>
                <w:sz w:val="20"/>
              </w:rPr>
            </w:pPr>
            <w:r w:rsidRPr="005123A4">
              <w:rPr>
                <w:sz w:val="20"/>
              </w:rPr>
              <w:t>&lt;1%</w:t>
            </w:r>
          </w:p>
        </w:tc>
        <w:tc>
          <w:tcPr>
            <w:tcW w:w="6223" w:type="dxa"/>
          </w:tcPr>
          <w:p w:rsidR="004F5FB9" w:rsidRPr="005123A4" w:rsidRDefault="004F5FB9" w:rsidP="005123A4">
            <w:pPr>
              <w:pStyle w:val="BodyText"/>
              <w:spacing w:after="0"/>
              <w:jc w:val="center"/>
              <w:rPr>
                <w:sz w:val="20"/>
              </w:rPr>
            </w:pPr>
            <w:r w:rsidRPr="005123A4">
              <w:rPr>
                <w:sz w:val="20"/>
              </w:rPr>
              <w:t>Dichloroethylmethylsilane (CAS No. 4525-44-4)</w:t>
            </w:r>
          </w:p>
        </w:tc>
      </w:tr>
      <w:tr w:rsidR="004F5FB9" w:rsidRPr="00D93C78" w:rsidTr="005123A4">
        <w:tc>
          <w:tcPr>
            <w:tcW w:w="1998" w:type="dxa"/>
          </w:tcPr>
          <w:p w:rsidR="004F5FB9" w:rsidRPr="005123A4" w:rsidRDefault="004F5FB9" w:rsidP="005123A4">
            <w:pPr>
              <w:pStyle w:val="BodyText"/>
              <w:spacing w:after="0"/>
              <w:jc w:val="center"/>
              <w:rPr>
                <w:sz w:val="20"/>
              </w:rPr>
            </w:pPr>
          </w:p>
        </w:tc>
        <w:tc>
          <w:tcPr>
            <w:tcW w:w="1634" w:type="dxa"/>
          </w:tcPr>
          <w:p w:rsidR="004F5FB9" w:rsidRPr="005123A4" w:rsidRDefault="004F5FB9" w:rsidP="005123A4">
            <w:pPr>
              <w:pStyle w:val="BodyText"/>
              <w:spacing w:after="0"/>
              <w:jc w:val="center"/>
              <w:rPr>
                <w:sz w:val="20"/>
              </w:rPr>
            </w:pPr>
            <w:r w:rsidRPr="005123A4">
              <w:rPr>
                <w:sz w:val="20"/>
              </w:rPr>
              <w:t>&lt; 1%</w:t>
            </w:r>
          </w:p>
        </w:tc>
        <w:tc>
          <w:tcPr>
            <w:tcW w:w="6223" w:type="dxa"/>
          </w:tcPr>
          <w:p w:rsidR="004F5FB9" w:rsidRPr="005123A4" w:rsidRDefault="004F5FB9" w:rsidP="005123A4">
            <w:pPr>
              <w:pStyle w:val="BodyText"/>
              <w:spacing w:after="0"/>
              <w:jc w:val="center"/>
              <w:rPr>
                <w:sz w:val="20"/>
              </w:rPr>
            </w:pPr>
            <w:r w:rsidRPr="005123A4">
              <w:rPr>
                <w:sz w:val="20"/>
              </w:rPr>
              <w:t>Dimethyldichlorosilane (CAS No. 75-78-5)</w:t>
            </w:r>
          </w:p>
        </w:tc>
      </w:tr>
      <w:tr w:rsidR="004F5FB9" w:rsidRPr="00D93C78" w:rsidTr="005123A4">
        <w:tc>
          <w:tcPr>
            <w:tcW w:w="1998" w:type="dxa"/>
          </w:tcPr>
          <w:p w:rsidR="004F5FB9" w:rsidRPr="005123A4" w:rsidRDefault="004F5FB9" w:rsidP="005123A4">
            <w:pPr>
              <w:pStyle w:val="BodyText"/>
              <w:spacing w:after="0"/>
              <w:jc w:val="center"/>
              <w:rPr>
                <w:sz w:val="20"/>
              </w:rPr>
            </w:pPr>
          </w:p>
        </w:tc>
        <w:tc>
          <w:tcPr>
            <w:tcW w:w="1634" w:type="dxa"/>
          </w:tcPr>
          <w:p w:rsidR="004F5FB9" w:rsidRPr="005123A4" w:rsidRDefault="004F5FB9" w:rsidP="005123A4">
            <w:pPr>
              <w:pStyle w:val="BodyText"/>
              <w:spacing w:after="0"/>
              <w:jc w:val="center"/>
              <w:rPr>
                <w:sz w:val="20"/>
              </w:rPr>
            </w:pPr>
            <w:r w:rsidRPr="005123A4">
              <w:rPr>
                <w:sz w:val="20"/>
              </w:rPr>
              <w:t>&lt;0.1%</w:t>
            </w:r>
          </w:p>
        </w:tc>
        <w:tc>
          <w:tcPr>
            <w:tcW w:w="6223" w:type="dxa"/>
          </w:tcPr>
          <w:p w:rsidR="004F5FB9" w:rsidRPr="005123A4" w:rsidRDefault="004F5FB9" w:rsidP="005123A4">
            <w:pPr>
              <w:pStyle w:val="BodyText"/>
              <w:spacing w:after="0"/>
              <w:jc w:val="center"/>
              <w:rPr>
                <w:sz w:val="20"/>
              </w:rPr>
            </w:pPr>
            <w:r w:rsidRPr="005123A4">
              <w:rPr>
                <w:sz w:val="20"/>
              </w:rPr>
              <w:t>Trichlorosilane (CAS No. 10025-78-2)</w:t>
            </w:r>
          </w:p>
        </w:tc>
      </w:tr>
      <w:tr w:rsidR="004F5FB9" w:rsidRPr="00D93C78" w:rsidTr="005123A4">
        <w:tc>
          <w:tcPr>
            <w:tcW w:w="1998" w:type="dxa"/>
          </w:tcPr>
          <w:p w:rsidR="004F5FB9" w:rsidRPr="005123A4" w:rsidRDefault="004F5FB9" w:rsidP="005123A4">
            <w:pPr>
              <w:pStyle w:val="BodyText"/>
              <w:spacing w:after="0"/>
              <w:jc w:val="center"/>
              <w:rPr>
                <w:sz w:val="20"/>
              </w:rPr>
            </w:pPr>
          </w:p>
        </w:tc>
        <w:tc>
          <w:tcPr>
            <w:tcW w:w="1634" w:type="dxa"/>
          </w:tcPr>
          <w:p w:rsidR="004F5FB9" w:rsidRPr="005123A4" w:rsidRDefault="004F5FB9" w:rsidP="005123A4">
            <w:pPr>
              <w:pStyle w:val="BodyText"/>
              <w:spacing w:after="0"/>
              <w:jc w:val="center"/>
              <w:rPr>
                <w:sz w:val="20"/>
              </w:rPr>
            </w:pPr>
            <w:r w:rsidRPr="005123A4">
              <w:rPr>
                <w:sz w:val="20"/>
              </w:rPr>
              <w:t>&gt;0.5%</w:t>
            </w:r>
          </w:p>
        </w:tc>
        <w:tc>
          <w:tcPr>
            <w:tcW w:w="6223" w:type="dxa"/>
          </w:tcPr>
          <w:p w:rsidR="004F5FB9" w:rsidRPr="005123A4" w:rsidRDefault="004F5FB9" w:rsidP="005123A4">
            <w:pPr>
              <w:pStyle w:val="BodyText"/>
              <w:spacing w:after="0"/>
              <w:jc w:val="center"/>
              <w:rPr>
                <w:sz w:val="20"/>
              </w:rPr>
            </w:pPr>
            <w:r w:rsidRPr="005123A4">
              <w:rPr>
                <w:sz w:val="20"/>
              </w:rPr>
              <w:t>Dimethylvinyldichlorosilane (CAS No. 1719-58-0)</w:t>
            </w:r>
          </w:p>
        </w:tc>
      </w:tr>
      <w:tr w:rsidR="004F5FB9" w:rsidRPr="00D93C78" w:rsidTr="005123A4">
        <w:tc>
          <w:tcPr>
            <w:tcW w:w="9855" w:type="dxa"/>
            <w:gridSpan w:val="3"/>
          </w:tcPr>
          <w:p w:rsidR="004F5FB9" w:rsidRPr="005123A4" w:rsidRDefault="004F5FB9" w:rsidP="005123A4">
            <w:pPr>
              <w:pStyle w:val="BodyText"/>
              <w:spacing w:after="0"/>
              <w:jc w:val="center"/>
              <w:rPr>
                <w:sz w:val="20"/>
              </w:rPr>
            </w:pPr>
          </w:p>
        </w:tc>
      </w:tr>
      <w:tr w:rsidR="004F5FB9" w:rsidRPr="00D93C78" w:rsidTr="005123A4">
        <w:tc>
          <w:tcPr>
            <w:tcW w:w="1998" w:type="dxa"/>
          </w:tcPr>
          <w:p w:rsidR="004F5FB9" w:rsidRPr="005123A4" w:rsidRDefault="004F5FB9" w:rsidP="005123A4">
            <w:pPr>
              <w:pStyle w:val="BodyText"/>
              <w:spacing w:after="0"/>
              <w:jc w:val="center"/>
              <w:rPr>
                <w:b/>
                <w:sz w:val="20"/>
              </w:rPr>
            </w:pPr>
            <w:r w:rsidRPr="005123A4">
              <w:rPr>
                <w:b/>
                <w:sz w:val="20"/>
              </w:rPr>
              <w:t>VTCS</w:t>
            </w:r>
          </w:p>
          <w:p w:rsidR="004F5FB9" w:rsidRPr="005123A4" w:rsidRDefault="004F5FB9" w:rsidP="005123A4">
            <w:pPr>
              <w:pStyle w:val="BodyText"/>
              <w:spacing w:after="0"/>
              <w:jc w:val="center"/>
              <w:rPr>
                <w:sz w:val="20"/>
              </w:rPr>
            </w:pPr>
            <w:r w:rsidRPr="005123A4">
              <w:rPr>
                <w:sz w:val="20"/>
              </w:rPr>
              <w:t>(Purity = 99%)</w:t>
            </w:r>
          </w:p>
        </w:tc>
        <w:tc>
          <w:tcPr>
            <w:tcW w:w="1634" w:type="dxa"/>
          </w:tcPr>
          <w:p w:rsidR="004F5FB9" w:rsidRPr="005123A4" w:rsidRDefault="004F5FB9" w:rsidP="005123A4">
            <w:pPr>
              <w:pStyle w:val="BodyText"/>
              <w:spacing w:after="0"/>
              <w:jc w:val="center"/>
              <w:rPr>
                <w:sz w:val="20"/>
              </w:rPr>
            </w:pPr>
            <w:r w:rsidRPr="005123A4">
              <w:rPr>
                <w:sz w:val="20"/>
              </w:rPr>
              <w:t>1%</w:t>
            </w:r>
          </w:p>
        </w:tc>
        <w:tc>
          <w:tcPr>
            <w:tcW w:w="6223" w:type="dxa"/>
          </w:tcPr>
          <w:p w:rsidR="004F5FB9" w:rsidRPr="005123A4" w:rsidRDefault="004F5FB9" w:rsidP="005123A4">
            <w:pPr>
              <w:pStyle w:val="BodyText"/>
              <w:spacing w:after="0"/>
              <w:jc w:val="center"/>
              <w:rPr>
                <w:sz w:val="20"/>
              </w:rPr>
            </w:pPr>
            <w:r w:rsidRPr="005123A4">
              <w:rPr>
                <w:sz w:val="20"/>
              </w:rPr>
              <w:t>1% Ethyltrichlorosilane (CAS No. 115-21-9)</w:t>
            </w:r>
          </w:p>
        </w:tc>
      </w:tr>
    </w:tbl>
    <w:p w:rsidR="000274A1" w:rsidRPr="00D93C78" w:rsidRDefault="00C1433D" w:rsidP="00405A21">
      <w:pPr>
        <w:pStyle w:val="Heading2"/>
        <w:numPr>
          <w:ilvl w:val="1"/>
          <w:numId w:val="4"/>
        </w:numPr>
        <w:tabs>
          <w:tab w:val="clear" w:pos="1077"/>
        </w:tabs>
        <w:ind w:left="839" w:hanging="839"/>
        <w:rPr>
          <w:rFonts w:ascii="Times New Roman" w:hAnsi="Times New Roman"/>
          <w:szCs w:val="24"/>
        </w:rPr>
      </w:pPr>
      <w:bookmarkStart w:id="19" w:name="_Toc32726015"/>
      <w:bookmarkStart w:id="20" w:name="_Toc32727198"/>
      <w:bookmarkStart w:id="21" w:name="_Toc43868643"/>
      <w:bookmarkStart w:id="22" w:name="_Toc200358231"/>
      <w:bookmarkStart w:id="23" w:name="_Toc310335172"/>
      <w:r w:rsidRPr="00D93C78">
        <w:rPr>
          <w:rFonts w:ascii="Times New Roman" w:hAnsi="Times New Roman"/>
          <w:szCs w:val="24"/>
        </w:rPr>
        <w:t>Physico-Chemical properties</w:t>
      </w:r>
      <w:bookmarkEnd w:id="19"/>
      <w:bookmarkEnd w:id="20"/>
      <w:bookmarkEnd w:id="21"/>
      <w:bookmarkEnd w:id="22"/>
      <w:bookmarkEnd w:id="23"/>
    </w:p>
    <w:p w:rsidR="00C1433D" w:rsidRPr="00D93C78" w:rsidRDefault="00740E9A" w:rsidP="005123A4">
      <w:pPr>
        <w:pStyle w:val="Caption"/>
        <w:ind w:hanging="839"/>
        <w:jc w:val="both"/>
        <w:rPr>
          <w:rFonts w:ascii="Times New Roman" w:hAnsi="Times New Roman"/>
          <w:b w:val="0"/>
          <w:bCs w:val="0"/>
          <w:szCs w:val="24"/>
        </w:rPr>
      </w:pPr>
      <w:bookmarkStart w:id="24" w:name="_Toc310335199"/>
      <w:r>
        <w:rPr>
          <w:rFonts w:ascii="Times New Roman" w:hAnsi="Times New Roman"/>
          <w:szCs w:val="24"/>
        </w:rPr>
        <w:t xml:space="preserve"> </w:t>
      </w:r>
      <w:r w:rsidR="00C1433D" w:rsidRPr="00D93C78">
        <w:rPr>
          <w:rFonts w:ascii="Times New Roman" w:hAnsi="Times New Roman"/>
          <w:szCs w:val="24"/>
        </w:rPr>
        <w:t xml:space="preserve">Table </w:t>
      </w:r>
      <w:r w:rsidR="003E5724" w:rsidRPr="00D93C78">
        <w:rPr>
          <w:rFonts w:ascii="Times New Roman" w:hAnsi="Times New Roman"/>
          <w:b w:val="0"/>
          <w:szCs w:val="24"/>
        </w:rPr>
        <w:t>1</w:t>
      </w:r>
      <w:r w:rsidR="00C1433D" w:rsidRPr="00D93C78">
        <w:rPr>
          <w:rFonts w:ascii="Times New Roman" w:hAnsi="Times New Roman"/>
          <w:b w:val="0"/>
          <w:bCs w:val="0"/>
          <w:szCs w:val="24"/>
        </w:rPr>
        <w:t xml:space="preserve"> </w:t>
      </w:r>
      <w:r w:rsidR="00C1433D" w:rsidRPr="00D93C78">
        <w:rPr>
          <w:rFonts w:ascii="Times New Roman" w:hAnsi="Times New Roman"/>
          <w:bCs w:val="0"/>
          <w:szCs w:val="24"/>
        </w:rPr>
        <w:t xml:space="preserve">Summary of </w:t>
      </w:r>
      <w:r w:rsidR="003E5724" w:rsidRPr="00D93C78">
        <w:rPr>
          <w:rFonts w:ascii="Times New Roman" w:hAnsi="Times New Roman"/>
          <w:bCs w:val="0"/>
          <w:szCs w:val="24"/>
        </w:rPr>
        <w:t>Physico-Chemical Properties</w:t>
      </w:r>
      <w:bookmarkEnd w:id="24"/>
    </w:p>
    <w:tbl>
      <w:tblPr>
        <w:tblW w:w="4850" w:type="pct"/>
        <w:tblInd w:w="17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819"/>
        <w:gridCol w:w="3870"/>
        <w:gridCol w:w="3870"/>
      </w:tblGrid>
      <w:tr w:rsidR="00E63972" w:rsidRPr="00D93C78" w:rsidTr="005123A4">
        <w:trPr>
          <w:trHeight w:val="417"/>
        </w:trPr>
        <w:tc>
          <w:tcPr>
            <w:tcW w:w="1818" w:type="dxa"/>
            <w:tcBorders>
              <w:top w:val="single" w:sz="12" w:space="0" w:color="000000"/>
              <w:bottom w:val="single" w:sz="12" w:space="0" w:color="000000"/>
            </w:tcBorders>
            <w:shd w:val="clear" w:color="auto" w:fill="auto"/>
          </w:tcPr>
          <w:p w:rsidR="00E63972" w:rsidRPr="005123A4" w:rsidRDefault="00E63972" w:rsidP="005123A4">
            <w:pPr>
              <w:pStyle w:val="Tabletext"/>
              <w:jc w:val="center"/>
              <w:rPr>
                <w:b/>
                <w:bCs/>
              </w:rPr>
            </w:pPr>
            <w:r w:rsidRPr="005123A4">
              <w:rPr>
                <w:b/>
                <w:bCs/>
              </w:rPr>
              <w:t>Property</w:t>
            </w:r>
          </w:p>
        </w:tc>
        <w:tc>
          <w:tcPr>
            <w:tcW w:w="3870" w:type="dxa"/>
            <w:tcBorders>
              <w:top w:val="single" w:sz="12" w:space="0" w:color="000000"/>
              <w:bottom w:val="single" w:sz="12" w:space="0" w:color="000000"/>
            </w:tcBorders>
            <w:shd w:val="clear" w:color="auto" w:fill="auto"/>
          </w:tcPr>
          <w:p w:rsidR="00E63972" w:rsidRPr="005123A4" w:rsidRDefault="00E63972" w:rsidP="005123A4">
            <w:pPr>
              <w:pStyle w:val="BodyText"/>
              <w:tabs>
                <w:tab w:val="left" w:pos="360"/>
              </w:tabs>
              <w:spacing w:after="0"/>
              <w:jc w:val="center"/>
              <w:rPr>
                <w:b/>
                <w:sz w:val="20"/>
              </w:rPr>
            </w:pPr>
            <w:r w:rsidRPr="005123A4">
              <w:rPr>
                <w:b/>
                <w:sz w:val="20"/>
              </w:rPr>
              <w:t>VDCS (CAS No 124-70-9)</w:t>
            </w:r>
          </w:p>
        </w:tc>
        <w:tc>
          <w:tcPr>
            <w:tcW w:w="3870" w:type="dxa"/>
            <w:tcBorders>
              <w:top w:val="single" w:sz="12" w:space="0" w:color="000000"/>
              <w:bottom w:val="single" w:sz="12" w:space="0" w:color="000000"/>
            </w:tcBorders>
          </w:tcPr>
          <w:p w:rsidR="00E63972" w:rsidRPr="005123A4" w:rsidRDefault="00E63972" w:rsidP="005123A4">
            <w:pPr>
              <w:pStyle w:val="BodyText"/>
              <w:tabs>
                <w:tab w:val="left" w:pos="360"/>
              </w:tabs>
              <w:spacing w:after="0"/>
              <w:jc w:val="center"/>
              <w:rPr>
                <w:b/>
                <w:sz w:val="20"/>
              </w:rPr>
            </w:pPr>
            <w:r w:rsidRPr="005123A4">
              <w:rPr>
                <w:b/>
                <w:sz w:val="20"/>
              </w:rPr>
              <w:t>VTCS (CAS No 75-94-5)</w:t>
            </w:r>
          </w:p>
        </w:tc>
      </w:tr>
      <w:tr w:rsidR="00E63972" w:rsidRPr="00D93C78" w:rsidTr="005123A4">
        <w:tc>
          <w:tcPr>
            <w:tcW w:w="1818" w:type="dxa"/>
            <w:tcBorders>
              <w:top w:val="single" w:sz="12" w:space="0" w:color="000000"/>
            </w:tcBorders>
            <w:shd w:val="clear" w:color="auto" w:fill="auto"/>
          </w:tcPr>
          <w:p w:rsidR="00E63972" w:rsidRPr="005123A4" w:rsidRDefault="00E63972" w:rsidP="005123A4">
            <w:pPr>
              <w:pStyle w:val="Tabletext"/>
              <w:jc w:val="center"/>
            </w:pPr>
            <w:r w:rsidRPr="005123A4">
              <w:t>Physical state</w:t>
            </w:r>
          </w:p>
        </w:tc>
        <w:tc>
          <w:tcPr>
            <w:tcW w:w="3870" w:type="dxa"/>
            <w:tcBorders>
              <w:top w:val="single" w:sz="12" w:space="0" w:color="000000"/>
            </w:tcBorders>
            <w:shd w:val="clear" w:color="auto" w:fill="auto"/>
          </w:tcPr>
          <w:p w:rsidR="00E63972" w:rsidRPr="005123A4" w:rsidRDefault="00E63972" w:rsidP="005123A4">
            <w:pPr>
              <w:jc w:val="center"/>
              <w:rPr>
                <w:sz w:val="20"/>
                <w:szCs w:val="20"/>
                <w:lang w:val="de-DE"/>
              </w:rPr>
            </w:pPr>
            <w:r w:rsidRPr="005123A4">
              <w:rPr>
                <w:sz w:val="20"/>
                <w:szCs w:val="20"/>
              </w:rPr>
              <w:t>liquid</w:t>
            </w:r>
          </w:p>
        </w:tc>
        <w:tc>
          <w:tcPr>
            <w:tcW w:w="3870" w:type="dxa"/>
            <w:tcBorders>
              <w:top w:val="single" w:sz="12" w:space="0" w:color="000000"/>
            </w:tcBorders>
          </w:tcPr>
          <w:p w:rsidR="00E63972" w:rsidRPr="005123A4" w:rsidRDefault="00E63972" w:rsidP="005123A4">
            <w:pPr>
              <w:jc w:val="center"/>
              <w:rPr>
                <w:sz w:val="20"/>
                <w:szCs w:val="20"/>
                <w:lang w:val="de-DE"/>
              </w:rPr>
            </w:pPr>
            <w:r w:rsidRPr="005123A4">
              <w:rPr>
                <w:sz w:val="20"/>
                <w:szCs w:val="20"/>
              </w:rPr>
              <w:t>liquid</w:t>
            </w:r>
          </w:p>
        </w:tc>
      </w:tr>
      <w:tr w:rsidR="00E63972" w:rsidRPr="00D93C78" w:rsidTr="005123A4">
        <w:trPr>
          <w:trHeight w:val="615"/>
        </w:trPr>
        <w:tc>
          <w:tcPr>
            <w:tcW w:w="1818" w:type="dxa"/>
            <w:shd w:val="clear" w:color="auto" w:fill="auto"/>
          </w:tcPr>
          <w:p w:rsidR="00E63972" w:rsidRPr="005123A4" w:rsidRDefault="00E63972" w:rsidP="005123A4">
            <w:pPr>
              <w:pStyle w:val="Tabletext"/>
              <w:jc w:val="center"/>
            </w:pPr>
            <w:r w:rsidRPr="005123A4">
              <w:t>Melting point  (</w:t>
            </w:r>
            <w:r w:rsidRPr="005123A4">
              <w:rPr>
                <w:vertAlign w:val="superscript"/>
              </w:rPr>
              <w:t>o</w:t>
            </w:r>
            <w:r w:rsidRPr="005123A4">
              <w:t>C)</w:t>
            </w:r>
          </w:p>
        </w:tc>
        <w:tc>
          <w:tcPr>
            <w:tcW w:w="3870" w:type="dxa"/>
            <w:shd w:val="clear" w:color="auto" w:fill="auto"/>
          </w:tcPr>
          <w:p w:rsidR="00E63972" w:rsidRPr="005123A4" w:rsidRDefault="00E63972" w:rsidP="005123A4">
            <w:pPr>
              <w:pStyle w:val="Tabletext"/>
              <w:jc w:val="center"/>
            </w:pPr>
            <w:r w:rsidRPr="005123A4">
              <w:t>-95 (measured; DIPPR)</w:t>
            </w:r>
          </w:p>
        </w:tc>
        <w:tc>
          <w:tcPr>
            <w:tcW w:w="3870" w:type="dxa"/>
          </w:tcPr>
          <w:p w:rsidR="00E63972" w:rsidRPr="005123A4" w:rsidRDefault="00E63972" w:rsidP="005123A4">
            <w:pPr>
              <w:pStyle w:val="Tabletext"/>
              <w:jc w:val="center"/>
            </w:pPr>
            <w:r w:rsidRPr="005123A4">
              <w:t>-95 (measured; Lide, 1994)</w:t>
            </w:r>
          </w:p>
        </w:tc>
      </w:tr>
      <w:tr w:rsidR="00E63972" w:rsidRPr="00D93C78" w:rsidTr="005123A4">
        <w:tc>
          <w:tcPr>
            <w:tcW w:w="1818" w:type="dxa"/>
            <w:shd w:val="clear" w:color="auto" w:fill="auto"/>
          </w:tcPr>
          <w:p w:rsidR="00E63972" w:rsidRPr="005123A4" w:rsidRDefault="00E63972" w:rsidP="005123A4">
            <w:pPr>
              <w:pStyle w:val="Tabletext"/>
              <w:jc w:val="center"/>
            </w:pPr>
            <w:r w:rsidRPr="005123A4">
              <w:t>Boiling point (°C)</w:t>
            </w:r>
          </w:p>
        </w:tc>
        <w:tc>
          <w:tcPr>
            <w:tcW w:w="3870" w:type="dxa"/>
            <w:shd w:val="clear" w:color="auto" w:fill="auto"/>
          </w:tcPr>
          <w:p w:rsidR="00E63972" w:rsidRPr="005123A4" w:rsidRDefault="00E63972" w:rsidP="005123A4">
            <w:pPr>
              <w:jc w:val="center"/>
              <w:rPr>
                <w:sz w:val="20"/>
                <w:szCs w:val="20"/>
              </w:rPr>
            </w:pPr>
            <w:r w:rsidRPr="005123A4">
              <w:rPr>
                <w:sz w:val="20"/>
                <w:szCs w:val="20"/>
              </w:rPr>
              <w:t>93.8  at 1012 hPa (measured; DIPPR)</w:t>
            </w:r>
          </w:p>
        </w:tc>
        <w:tc>
          <w:tcPr>
            <w:tcW w:w="3870" w:type="dxa"/>
          </w:tcPr>
          <w:p w:rsidR="00E63972" w:rsidRPr="005123A4" w:rsidRDefault="00E63972" w:rsidP="005123A4">
            <w:pPr>
              <w:jc w:val="center"/>
              <w:rPr>
                <w:sz w:val="20"/>
                <w:szCs w:val="20"/>
              </w:rPr>
            </w:pPr>
            <w:r w:rsidRPr="005123A4">
              <w:rPr>
                <w:sz w:val="20"/>
                <w:szCs w:val="20"/>
              </w:rPr>
              <w:t>91.4</w:t>
            </w:r>
            <w:r w:rsidRPr="005123A4">
              <w:rPr>
                <w:sz w:val="20"/>
                <w:szCs w:val="20"/>
                <w:vertAlign w:val="superscript"/>
              </w:rPr>
              <w:t xml:space="preserve"> </w:t>
            </w:r>
            <w:r w:rsidRPr="005123A4">
              <w:rPr>
                <w:sz w:val="20"/>
                <w:szCs w:val="20"/>
              </w:rPr>
              <w:t xml:space="preserve"> at 1013hPa (measured; Lide, 1994)</w:t>
            </w:r>
          </w:p>
        </w:tc>
      </w:tr>
      <w:tr w:rsidR="00E63972" w:rsidRPr="00D93C78" w:rsidTr="005123A4">
        <w:tc>
          <w:tcPr>
            <w:tcW w:w="1818" w:type="dxa"/>
            <w:shd w:val="clear" w:color="auto" w:fill="auto"/>
          </w:tcPr>
          <w:p w:rsidR="00E63972" w:rsidRPr="005123A4" w:rsidRDefault="00E63972" w:rsidP="005123A4">
            <w:pPr>
              <w:pStyle w:val="Tabletext"/>
              <w:jc w:val="center"/>
            </w:pPr>
            <w:r w:rsidRPr="005123A4">
              <w:t>Liquid density  (g/cm</w:t>
            </w:r>
            <w:r w:rsidRPr="005123A4">
              <w:rPr>
                <w:vertAlign w:val="superscript"/>
              </w:rPr>
              <w:t>3</w:t>
            </w:r>
            <w:r w:rsidRPr="005123A4">
              <w:t>)</w:t>
            </w:r>
          </w:p>
        </w:tc>
        <w:tc>
          <w:tcPr>
            <w:tcW w:w="3870" w:type="dxa"/>
            <w:shd w:val="clear" w:color="auto" w:fill="auto"/>
          </w:tcPr>
          <w:p w:rsidR="00E63972" w:rsidRPr="005123A4" w:rsidRDefault="00E63972" w:rsidP="005123A4">
            <w:pPr>
              <w:jc w:val="center"/>
              <w:rPr>
                <w:sz w:val="20"/>
                <w:szCs w:val="20"/>
              </w:rPr>
            </w:pPr>
            <w:r w:rsidRPr="005123A4">
              <w:rPr>
                <w:sz w:val="20"/>
                <w:szCs w:val="20"/>
              </w:rPr>
              <w:t>1.07 at 20</w:t>
            </w:r>
            <w:r w:rsidRPr="005123A4">
              <w:rPr>
                <w:sz w:val="20"/>
                <w:szCs w:val="20"/>
                <w:vertAlign w:val="superscript"/>
              </w:rPr>
              <w:t>o</w:t>
            </w:r>
            <w:r w:rsidRPr="005123A4">
              <w:rPr>
                <w:sz w:val="20"/>
                <w:szCs w:val="20"/>
              </w:rPr>
              <w:t>C (estimated; Peter Fisk, 2009a, b)</w:t>
            </w:r>
          </w:p>
        </w:tc>
        <w:tc>
          <w:tcPr>
            <w:tcW w:w="3870" w:type="dxa"/>
          </w:tcPr>
          <w:p w:rsidR="00E63972" w:rsidRPr="005123A4" w:rsidRDefault="00E63972" w:rsidP="005123A4">
            <w:pPr>
              <w:jc w:val="center"/>
              <w:rPr>
                <w:sz w:val="20"/>
                <w:szCs w:val="20"/>
              </w:rPr>
            </w:pPr>
            <w:r w:rsidRPr="005123A4">
              <w:rPr>
                <w:sz w:val="20"/>
                <w:szCs w:val="20"/>
              </w:rPr>
              <w:t>1.27 at 20</w:t>
            </w:r>
            <w:r w:rsidRPr="005123A4">
              <w:rPr>
                <w:sz w:val="20"/>
                <w:szCs w:val="20"/>
                <w:vertAlign w:val="superscript"/>
              </w:rPr>
              <w:t>o</w:t>
            </w:r>
            <w:r w:rsidRPr="005123A4">
              <w:rPr>
                <w:sz w:val="20"/>
                <w:szCs w:val="20"/>
              </w:rPr>
              <w:t>C (measured; Degussa, 2002; RL =4)</w:t>
            </w:r>
          </w:p>
        </w:tc>
      </w:tr>
      <w:tr w:rsidR="00E63972" w:rsidRPr="00D93C78" w:rsidTr="005123A4">
        <w:trPr>
          <w:trHeight w:val="417"/>
        </w:trPr>
        <w:tc>
          <w:tcPr>
            <w:tcW w:w="1818" w:type="dxa"/>
            <w:shd w:val="clear" w:color="auto" w:fill="auto"/>
          </w:tcPr>
          <w:p w:rsidR="00E63972" w:rsidRPr="005123A4" w:rsidRDefault="00E63972" w:rsidP="005123A4">
            <w:pPr>
              <w:pStyle w:val="Tabletext"/>
              <w:jc w:val="center"/>
            </w:pPr>
            <w:r w:rsidRPr="005123A4">
              <w:t>Vapour pressure (hPa)</w:t>
            </w:r>
          </w:p>
        </w:tc>
        <w:tc>
          <w:tcPr>
            <w:tcW w:w="3870" w:type="dxa"/>
            <w:shd w:val="clear" w:color="auto" w:fill="auto"/>
          </w:tcPr>
          <w:p w:rsidR="00E63972" w:rsidRPr="005123A4" w:rsidRDefault="00E63972" w:rsidP="005123A4">
            <w:pPr>
              <w:jc w:val="center"/>
              <w:rPr>
                <w:sz w:val="20"/>
                <w:szCs w:val="20"/>
              </w:rPr>
            </w:pPr>
            <w:r w:rsidRPr="005123A4">
              <w:rPr>
                <w:sz w:val="20"/>
                <w:szCs w:val="20"/>
              </w:rPr>
              <w:t>58.</w:t>
            </w:r>
            <w:r w:rsidR="00185A90" w:rsidRPr="005123A4">
              <w:rPr>
                <w:sz w:val="20"/>
                <w:szCs w:val="20"/>
              </w:rPr>
              <w:t>7</w:t>
            </w:r>
            <w:r w:rsidR="006C2702" w:rsidRPr="005123A4">
              <w:rPr>
                <w:sz w:val="20"/>
                <w:szCs w:val="20"/>
              </w:rPr>
              <w:t>5</w:t>
            </w:r>
            <w:r w:rsidR="00185A90" w:rsidRPr="005123A4">
              <w:rPr>
                <w:sz w:val="20"/>
                <w:szCs w:val="20"/>
              </w:rPr>
              <w:t xml:space="preserve"> </w:t>
            </w:r>
            <w:r w:rsidRPr="005123A4">
              <w:rPr>
                <w:sz w:val="20"/>
                <w:szCs w:val="20"/>
              </w:rPr>
              <w:t>at 20</w:t>
            </w:r>
            <w:r w:rsidRPr="005123A4">
              <w:rPr>
                <w:sz w:val="20"/>
                <w:szCs w:val="20"/>
                <w:vertAlign w:val="superscript"/>
              </w:rPr>
              <w:t>o</w:t>
            </w:r>
            <w:r w:rsidRPr="005123A4">
              <w:rPr>
                <w:sz w:val="20"/>
                <w:szCs w:val="20"/>
              </w:rPr>
              <w:t>C (extrapolated; Haas, 1983)</w:t>
            </w:r>
          </w:p>
        </w:tc>
        <w:tc>
          <w:tcPr>
            <w:tcW w:w="3870" w:type="dxa"/>
          </w:tcPr>
          <w:p w:rsidR="00E63972" w:rsidRPr="005123A4" w:rsidRDefault="00E63972" w:rsidP="005123A4">
            <w:pPr>
              <w:jc w:val="center"/>
              <w:rPr>
                <w:sz w:val="20"/>
                <w:szCs w:val="20"/>
              </w:rPr>
            </w:pPr>
            <w:r w:rsidRPr="005123A4">
              <w:rPr>
                <w:sz w:val="20"/>
                <w:szCs w:val="20"/>
              </w:rPr>
              <w:t>87.99 at 2</w:t>
            </w:r>
            <w:r w:rsidR="00966592" w:rsidRPr="005123A4">
              <w:rPr>
                <w:sz w:val="20"/>
                <w:szCs w:val="20"/>
              </w:rPr>
              <w:t>5</w:t>
            </w:r>
            <w:r w:rsidRPr="005123A4">
              <w:rPr>
                <w:sz w:val="20"/>
                <w:szCs w:val="20"/>
                <w:vertAlign w:val="superscript"/>
              </w:rPr>
              <w:t>o</w:t>
            </w:r>
            <w:r w:rsidRPr="005123A4">
              <w:rPr>
                <w:sz w:val="20"/>
                <w:szCs w:val="20"/>
              </w:rPr>
              <w:t>C (extrapolated; DIPPR)</w:t>
            </w:r>
          </w:p>
        </w:tc>
      </w:tr>
      <w:tr w:rsidR="00E63972" w:rsidRPr="00D93C78" w:rsidTr="005123A4">
        <w:tc>
          <w:tcPr>
            <w:tcW w:w="1818" w:type="dxa"/>
            <w:shd w:val="clear" w:color="auto" w:fill="auto"/>
          </w:tcPr>
          <w:p w:rsidR="00E63972" w:rsidRPr="005123A4" w:rsidRDefault="00E63972" w:rsidP="005123A4">
            <w:pPr>
              <w:pStyle w:val="Tabletext"/>
              <w:jc w:val="center"/>
            </w:pPr>
            <w:r w:rsidRPr="005123A4">
              <w:t xml:space="preserve">Water solubility (mg/L at 25 </w:t>
            </w:r>
            <w:r w:rsidRPr="005123A4">
              <w:rPr>
                <w:vertAlign w:val="superscript"/>
              </w:rPr>
              <w:t>o</w:t>
            </w:r>
            <w:r w:rsidRPr="005123A4">
              <w:t>C)  (a, b)</w:t>
            </w:r>
          </w:p>
        </w:tc>
        <w:tc>
          <w:tcPr>
            <w:tcW w:w="3870" w:type="dxa"/>
            <w:shd w:val="clear" w:color="auto" w:fill="auto"/>
          </w:tcPr>
          <w:p w:rsidR="00E63972" w:rsidRPr="005123A4" w:rsidRDefault="00A80880" w:rsidP="005123A4">
            <w:pPr>
              <w:pStyle w:val="Tabletext"/>
              <w:jc w:val="center"/>
            </w:pPr>
            <w:r w:rsidRPr="005123A4">
              <w:t xml:space="preserve">Rapidly hydrolyzes, </w:t>
            </w:r>
            <w:r w:rsidR="00E63972" w:rsidRPr="005123A4">
              <w:t>802.3 (estimated; US EPA, 2012 (EPISuite v4.10)</w:t>
            </w:r>
          </w:p>
        </w:tc>
        <w:tc>
          <w:tcPr>
            <w:tcW w:w="3870" w:type="dxa"/>
          </w:tcPr>
          <w:p w:rsidR="00E63972" w:rsidRPr="005123A4" w:rsidRDefault="00A80880" w:rsidP="005123A4">
            <w:pPr>
              <w:pStyle w:val="Tabletext"/>
              <w:jc w:val="center"/>
            </w:pPr>
            <w:r w:rsidRPr="005123A4">
              <w:t xml:space="preserve">Rapidly hydrolyzes, </w:t>
            </w:r>
            <w:r w:rsidR="00E63972" w:rsidRPr="005123A4">
              <w:t>1338 (estimated; US EPA, 2012 (EPISuite v4.10)</w:t>
            </w:r>
          </w:p>
        </w:tc>
      </w:tr>
      <w:tr w:rsidR="00E63972" w:rsidRPr="00D93C78" w:rsidTr="005123A4">
        <w:tc>
          <w:tcPr>
            <w:tcW w:w="1818" w:type="dxa"/>
            <w:shd w:val="clear" w:color="auto" w:fill="auto"/>
          </w:tcPr>
          <w:p w:rsidR="00E63972" w:rsidRPr="005123A4" w:rsidRDefault="00E63972" w:rsidP="005123A4">
            <w:pPr>
              <w:pStyle w:val="Tabletext"/>
              <w:jc w:val="center"/>
            </w:pPr>
            <w:r w:rsidRPr="005123A4">
              <w:t xml:space="preserve">Partition coefficient n-octanol/water (log value at 25 </w:t>
            </w:r>
            <w:r w:rsidRPr="005123A4">
              <w:rPr>
                <w:vertAlign w:val="superscript"/>
              </w:rPr>
              <w:t>o</w:t>
            </w:r>
            <w:r w:rsidRPr="005123A4">
              <w:t>C)(a, b)</w:t>
            </w:r>
          </w:p>
        </w:tc>
        <w:tc>
          <w:tcPr>
            <w:tcW w:w="3870" w:type="dxa"/>
            <w:shd w:val="clear" w:color="auto" w:fill="auto"/>
          </w:tcPr>
          <w:p w:rsidR="00E63972" w:rsidRPr="005123A4" w:rsidRDefault="00E63972" w:rsidP="005123A4">
            <w:pPr>
              <w:jc w:val="center"/>
              <w:rPr>
                <w:sz w:val="20"/>
                <w:szCs w:val="20"/>
              </w:rPr>
            </w:pPr>
            <w:r w:rsidRPr="005123A4">
              <w:rPr>
                <w:sz w:val="20"/>
                <w:szCs w:val="20"/>
              </w:rPr>
              <w:t>2.6 (estimated; US EPA, 2012 (EPISuite v4.10)</w:t>
            </w:r>
          </w:p>
        </w:tc>
        <w:tc>
          <w:tcPr>
            <w:tcW w:w="3870" w:type="dxa"/>
          </w:tcPr>
          <w:p w:rsidR="00E63972" w:rsidRPr="005123A4" w:rsidRDefault="00E63972" w:rsidP="005123A4">
            <w:pPr>
              <w:jc w:val="center"/>
              <w:rPr>
                <w:sz w:val="20"/>
                <w:szCs w:val="20"/>
              </w:rPr>
            </w:pPr>
            <w:r w:rsidRPr="005123A4">
              <w:rPr>
                <w:sz w:val="20"/>
                <w:szCs w:val="20"/>
              </w:rPr>
              <w:t>2.4 (estimated; US EPA, 2012 (EPISuite v4.10)</w:t>
            </w:r>
          </w:p>
        </w:tc>
      </w:tr>
      <w:tr w:rsidR="00E63972" w:rsidRPr="00D93C78" w:rsidTr="005123A4">
        <w:trPr>
          <w:trHeight w:val="534"/>
        </w:trPr>
        <w:tc>
          <w:tcPr>
            <w:tcW w:w="1818" w:type="dxa"/>
            <w:shd w:val="clear" w:color="auto" w:fill="auto"/>
          </w:tcPr>
          <w:p w:rsidR="00E63972" w:rsidRPr="005123A4" w:rsidRDefault="00E63972" w:rsidP="005123A4">
            <w:pPr>
              <w:pStyle w:val="Tabletext"/>
              <w:jc w:val="center"/>
            </w:pPr>
            <w:r w:rsidRPr="005123A4">
              <w:t>Henry’s law constant  (Pa-m3/mole  at 25</w:t>
            </w:r>
            <w:r w:rsidRPr="005123A4">
              <w:rPr>
                <w:vertAlign w:val="superscript"/>
              </w:rPr>
              <w:t>o</w:t>
            </w:r>
            <w:r w:rsidRPr="005123A4">
              <w:t>C) (b)</w:t>
            </w:r>
          </w:p>
        </w:tc>
        <w:tc>
          <w:tcPr>
            <w:tcW w:w="3870" w:type="dxa"/>
            <w:shd w:val="clear" w:color="auto" w:fill="auto"/>
          </w:tcPr>
          <w:p w:rsidR="00E63972" w:rsidRPr="005123A4" w:rsidRDefault="00E63972" w:rsidP="005123A4">
            <w:pPr>
              <w:jc w:val="center"/>
              <w:rPr>
                <w:sz w:val="20"/>
                <w:szCs w:val="20"/>
              </w:rPr>
            </w:pPr>
            <w:r w:rsidRPr="005123A4">
              <w:rPr>
                <w:sz w:val="20"/>
                <w:szCs w:val="20"/>
              </w:rPr>
              <w:t>1880 (</w:t>
            </w:r>
            <w:r w:rsidR="00185A90" w:rsidRPr="005123A4">
              <w:rPr>
                <w:sz w:val="20"/>
                <w:szCs w:val="20"/>
              </w:rPr>
              <w:t>Bond method, estimated; Group method, incomplete</w:t>
            </w:r>
            <w:r w:rsidRPr="005123A4">
              <w:rPr>
                <w:sz w:val="20"/>
                <w:szCs w:val="20"/>
              </w:rPr>
              <w:t>; US EPA, 2012 (EPISuite v4.10)</w:t>
            </w:r>
          </w:p>
        </w:tc>
        <w:tc>
          <w:tcPr>
            <w:tcW w:w="3870" w:type="dxa"/>
          </w:tcPr>
          <w:p w:rsidR="00E63972" w:rsidRPr="005123A4" w:rsidRDefault="00E63972" w:rsidP="005123A4">
            <w:pPr>
              <w:jc w:val="center"/>
              <w:rPr>
                <w:sz w:val="20"/>
                <w:szCs w:val="20"/>
              </w:rPr>
            </w:pPr>
            <w:r w:rsidRPr="005123A4">
              <w:rPr>
                <w:sz w:val="20"/>
                <w:szCs w:val="20"/>
              </w:rPr>
              <w:t>544 (</w:t>
            </w:r>
            <w:r w:rsidR="00966592" w:rsidRPr="005123A4">
              <w:rPr>
                <w:sz w:val="20"/>
                <w:szCs w:val="20"/>
              </w:rPr>
              <w:t xml:space="preserve">Bond method, </w:t>
            </w:r>
            <w:r w:rsidRPr="005123A4">
              <w:rPr>
                <w:sz w:val="20"/>
                <w:szCs w:val="20"/>
              </w:rPr>
              <w:t>estimated;</w:t>
            </w:r>
            <w:r w:rsidR="00966592" w:rsidRPr="005123A4">
              <w:rPr>
                <w:sz w:val="20"/>
                <w:szCs w:val="20"/>
              </w:rPr>
              <w:t xml:space="preserve"> Group method, incomplete)</w:t>
            </w:r>
            <w:r w:rsidRPr="005123A4">
              <w:rPr>
                <w:sz w:val="20"/>
                <w:szCs w:val="20"/>
              </w:rPr>
              <w:t xml:space="preserve"> US EPA, 2012 (EPISuite v4.10)</w:t>
            </w:r>
          </w:p>
        </w:tc>
      </w:tr>
    </w:tbl>
    <w:p w:rsidR="000274A1" w:rsidRPr="005123A4" w:rsidRDefault="0030374C" w:rsidP="00D93C78">
      <w:pPr>
        <w:pStyle w:val="BodyText"/>
        <w:spacing w:after="0"/>
        <w:rPr>
          <w:sz w:val="20"/>
        </w:rPr>
      </w:pPr>
      <w:r w:rsidRPr="005123A4">
        <w:rPr>
          <w:sz w:val="20"/>
        </w:rPr>
        <w:t>(</w:t>
      </w:r>
      <w:r w:rsidR="00195C8C" w:rsidRPr="005123A4">
        <w:rPr>
          <w:sz w:val="20"/>
        </w:rPr>
        <w:t>a</w:t>
      </w:r>
      <w:r w:rsidRPr="005123A4">
        <w:rPr>
          <w:sz w:val="20"/>
        </w:rPr>
        <w:t xml:space="preserve">) </w:t>
      </w:r>
      <w:r w:rsidR="00295FA6" w:rsidRPr="005123A4">
        <w:rPr>
          <w:sz w:val="20"/>
        </w:rPr>
        <w:t xml:space="preserve">These </w:t>
      </w:r>
      <w:r w:rsidR="00C1433D" w:rsidRPr="005123A4">
        <w:rPr>
          <w:sz w:val="20"/>
        </w:rPr>
        <w:t xml:space="preserve">values may not be </w:t>
      </w:r>
      <w:r w:rsidR="006C2702" w:rsidRPr="005123A4">
        <w:rPr>
          <w:sz w:val="20"/>
        </w:rPr>
        <w:t>relevant</w:t>
      </w:r>
      <w:r w:rsidR="00C1433D" w:rsidRPr="005123A4">
        <w:rPr>
          <w:sz w:val="20"/>
        </w:rPr>
        <w:t xml:space="preserve"> because the </w:t>
      </w:r>
      <w:r w:rsidR="00295FA6" w:rsidRPr="005123A4">
        <w:rPr>
          <w:sz w:val="20"/>
        </w:rPr>
        <w:t>substance</w:t>
      </w:r>
      <w:r w:rsidR="001B2DB6" w:rsidRPr="005123A4">
        <w:rPr>
          <w:sz w:val="20"/>
        </w:rPr>
        <w:t>s are</w:t>
      </w:r>
      <w:r w:rsidR="00C1433D" w:rsidRPr="005123A4">
        <w:rPr>
          <w:sz w:val="20"/>
        </w:rPr>
        <w:t xml:space="preserve"> hydrolytically unstable.</w:t>
      </w:r>
    </w:p>
    <w:p w:rsidR="000274A1" w:rsidRPr="005123A4" w:rsidRDefault="0030374C" w:rsidP="00D93C78">
      <w:pPr>
        <w:pStyle w:val="BodyText"/>
        <w:spacing w:after="0"/>
        <w:rPr>
          <w:sz w:val="20"/>
        </w:rPr>
      </w:pPr>
      <w:r w:rsidRPr="005123A4">
        <w:rPr>
          <w:sz w:val="20"/>
        </w:rPr>
        <w:t>(</w:t>
      </w:r>
      <w:r w:rsidR="00195C8C" w:rsidRPr="005123A4">
        <w:rPr>
          <w:sz w:val="20"/>
        </w:rPr>
        <w:t>b</w:t>
      </w:r>
      <w:r w:rsidRPr="005123A4">
        <w:rPr>
          <w:sz w:val="20"/>
        </w:rPr>
        <w:t>)</w:t>
      </w:r>
      <w:r w:rsidR="00004A92" w:rsidRPr="005123A4">
        <w:rPr>
          <w:sz w:val="20"/>
        </w:rPr>
        <w:t xml:space="preserve"> </w:t>
      </w:r>
      <w:r w:rsidR="00C1433D" w:rsidRPr="005123A4">
        <w:rPr>
          <w:sz w:val="20"/>
        </w:rPr>
        <w:t>Reliability =</w:t>
      </w:r>
      <w:r w:rsidR="006A09F3" w:rsidRPr="005123A4">
        <w:rPr>
          <w:sz w:val="20"/>
        </w:rPr>
        <w:t xml:space="preserve"> </w:t>
      </w:r>
      <w:r w:rsidR="00C1433D" w:rsidRPr="005123A4">
        <w:rPr>
          <w:sz w:val="20"/>
        </w:rPr>
        <w:t>4; The EPI Suite program (v 4.</w:t>
      </w:r>
      <w:r w:rsidR="00450109" w:rsidRPr="005123A4">
        <w:rPr>
          <w:sz w:val="20"/>
        </w:rPr>
        <w:t>1</w:t>
      </w:r>
      <w:r w:rsidR="00A94C8C" w:rsidRPr="005123A4">
        <w:rPr>
          <w:sz w:val="20"/>
        </w:rPr>
        <w:t>0</w:t>
      </w:r>
      <w:r w:rsidR="00C1433D" w:rsidRPr="005123A4">
        <w:rPr>
          <w:sz w:val="20"/>
        </w:rPr>
        <w:t>) developed by the U.S. Environmental Protection Agency and Syracuse Research Corporation has not been validated for chemicals that contain silanes in their molecular structure (although some measured data are included in the training data set); therefore, there is uncertainty associated with the calculated values and they should be used with caution whenever they are reported.</w:t>
      </w:r>
    </w:p>
    <w:p w:rsidR="000274A1" w:rsidRPr="00D93C78" w:rsidRDefault="005C750F" w:rsidP="00405A21">
      <w:pPr>
        <w:pStyle w:val="Heading2"/>
        <w:numPr>
          <w:ilvl w:val="1"/>
          <w:numId w:val="4"/>
        </w:numPr>
        <w:tabs>
          <w:tab w:val="clear" w:pos="1077"/>
        </w:tabs>
        <w:ind w:left="839" w:hanging="839"/>
        <w:rPr>
          <w:rFonts w:ascii="Times New Roman" w:hAnsi="Times New Roman"/>
          <w:szCs w:val="24"/>
        </w:rPr>
      </w:pPr>
      <w:bookmarkStart w:id="25" w:name="_Toc43868644"/>
      <w:bookmarkStart w:id="26" w:name="_Toc200358232"/>
      <w:bookmarkStart w:id="27" w:name="_Toc310335173"/>
      <w:r w:rsidRPr="00D93C78">
        <w:rPr>
          <w:rFonts w:ascii="Times New Roman" w:hAnsi="Times New Roman"/>
          <w:szCs w:val="24"/>
        </w:rPr>
        <w:t xml:space="preserve">Category and </w:t>
      </w:r>
      <w:r w:rsidR="00AE0776" w:rsidRPr="00D93C78">
        <w:rPr>
          <w:rFonts w:ascii="Times New Roman" w:hAnsi="Times New Roman"/>
          <w:szCs w:val="24"/>
        </w:rPr>
        <w:t>Analogue</w:t>
      </w:r>
      <w:r w:rsidR="00C1433D" w:rsidRPr="00D93C78">
        <w:rPr>
          <w:rFonts w:ascii="Times New Roman" w:hAnsi="Times New Roman"/>
          <w:szCs w:val="24"/>
        </w:rPr>
        <w:t xml:space="preserve"> Justification</w:t>
      </w:r>
      <w:bookmarkEnd w:id="25"/>
      <w:bookmarkEnd w:id="26"/>
      <w:bookmarkEnd w:id="27"/>
    </w:p>
    <w:p w:rsidR="000A1E84" w:rsidRPr="00D93C78" w:rsidRDefault="005123A4" w:rsidP="005123A4">
      <w:pPr>
        <w:pStyle w:val="Heading3"/>
        <w:ind w:left="0" w:firstLine="0"/>
      </w:pPr>
      <w:r>
        <w:t>1.4.1</w:t>
      </w:r>
      <w:r>
        <w:tab/>
      </w:r>
      <w:r w:rsidR="000A1E84" w:rsidRPr="005123A4">
        <w:t>Category Justification</w:t>
      </w:r>
    </w:p>
    <w:p w:rsidR="001061EF" w:rsidRPr="00D93C78" w:rsidRDefault="00004A92" w:rsidP="00D93C78">
      <w:pPr>
        <w:jc w:val="both"/>
      </w:pPr>
      <w:r w:rsidRPr="00D93C78">
        <w:t xml:space="preserve">Chlorosilanes </w:t>
      </w:r>
      <w:r w:rsidR="00C1433D" w:rsidRPr="00D93C78">
        <w:t>react rapidly when exposed to moisture or polar reagents, producing hydrogen chloride (HCl; CAS No. 7647-01-0) and the corresponding silanols (</w:t>
      </w:r>
      <w:r w:rsidR="00D926EE" w:rsidRPr="00D93C78">
        <w:t xml:space="preserve">in general, </w:t>
      </w:r>
      <w:r w:rsidR="00C1433D" w:rsidRPr="00D93C78">
        <w:t xml:space="preserve">siloxane oligomers and polymers; Bayer et al. 1991, Bazant et al. 1965, Noll 1968, and Tomanek 1990). </w:t>
      </w:r>
      <w:r w:rsidR="000A0B61" w:rsidRPr="00D93C78">
        <w:t xml:space="preserve"> </w:t>
      </w:r>
      <w:r w:rsidR="009C1276" w:rsidRPr="00D93C78">
        <w:t xml:space="preserve">For the two vinyl chlorosilanes in the category, </w:t>
      </w:r>
      <w:r w:rsidR="00FA00DF" w:rsidRPr="00D93C78">
        <w:t xml:space="preserve">the half-lives </w:t>
      </w:r>
      <w:r w:rsidR="005C750F" w:rsidRPr="00D93C78">
        <w:t>are</w:t>
      </w:r>
      <w:r w:rsidR="00FA00DF" w:rsidRPr="00D93C78">
        <w:t xml:space="preserve"> expected to be &lt;1 minute based on data from two analogous substances, </w:t>
      </w:r>
      <w:r w:rsidR="008F1344" w:rsidRPr="00D93C78">
        <w:t>d</w:t>
      </w:r>
      <w:r w:rsidR="00E33526" w:rsidRPr="00D93C78">
        <w:t>imethyldichlorosilane</w:t>
      </w:r>
      <w:r w:rsidR="00E943E7" w:rsidRPr="00D93C78">
        <w:t xml:space="preserve"> (</w:t>
      </w:r>
      <w:r w:rsidR="00E33526" w:rsidRPr="00D93C78">
        <w:t>DMDCS</w:t>
      </w:r>
      <w:r w:rsidR="00E943E7" w:rsidRPr="00D93C78">
        <w:t>,</w:t>
      </w:r>
      <w:r w:rsidR="00E33526" w:rsidRPr="00D93C78">
        <w:t xml:space="preserve"> </w:t>
      </w:r>
      <w:r w:rsidR="00FA00DF" w:rsidRPr="00D93C78">
        <w:t xml:space="preserve">CAS No. 75-78-5) </w:t>
      </w:r>
      <w:r w:rsidR="008F1344" w:rsidRPr="00D93C78">
        <w:t>m</w:t>
      </w:r>
      <w:r w:rsidR="00E33526" w:rsidRPr="00D93C78">
        <w:t>ethyltrichlorosilane</w:t>
      </w:r>
      <w:r w:rsidR="00E943E7" w:rsidRPr="00D93C78">
        <w:t xml:space="preserve"> (</w:t>
      </w:r>
      <w:r w:rsidR="00E33526" w:rsidRPr="00D93C78">
        <w:t>MT</w:t>
      </w:r>
      <w:r w:rsidR="00172771" w:rsidRPr="00D93C78">
        <w:t>C</w:t>
      </w:r>
      <w:r w:rsidR="00E33526" w:rsidRPr="00D93C78">
        <w:t>S</w:t>
      </w:r>
      <w:r w:rsidR="00E943E7" w:rsidRPr="00D93C78">
        <w:t>,</w:t>
      </w:r>
      <w:r w:rsidR="00E33526" w:rsidRPr="00D93C78">
        <w:t xml:space="preserve"> </w:t>
      </w:r>
      <w:r w:rsidR="00FA00DF" w:rsidRPr="00D93C78">
        <w:t>CAS No. 75-79-6)</w:t>
      </w:r>
      <w:r w:rsidR="00FA00DF" w:rsidRPr="00D93C78">
        <w:rPr>
          <w:snapToGrid w:val="0"/>
        </w:rPr>
        <w:t>.</w:t>
      </w:r>
    </w:p>
    <w:p w:rsidR="001061EF" w:rsidRPr="00D93C78" w:rsidRDefault="001061EF" w:rsidP="00D93C78">
      <w:pPr>
        <w:jc w:val="both"/>
      </w:pPr>
    </w:p>
    <w:p w:rsidR="007629AF" w:rsidRPr="00D93C78" w:rsidRDefault="009C1276" w:rsidP="00D93C78">
      <w:pPr>
        <w:jc w:val="both"/>
      </w:pPr>
      <w:r w:rsidRPr="00D93C78">
        <w:t>T</w:t>
      </w:r>
      <w:r w:rsidR="00FA00DF" w:rsidRPr="00D93C78">
        <w:t>he silanols</w:t>
      </w:r>
      <w:r w:rsidR="003C04A5" w:rsidRPr="00D93C78">
        <w:t>,</w:t>
      </w:r>
      <w:r w:rsidR="00FA00DF" w:rsidRPr="00D93C78">
        <w:t xml:space="preserve"> </w:t>
      </w:r>
      <w:r w:rsidRPr="00D93C78">
        <w:t xml:space="preserve">expected to be </w:t>
      </w:r>
      <w:r w:rsidR="00FA00DF" w:rsidRPr="00D93C78">
        <w:t>produced following vinyl chlorosilane hydrolysis</w:t>
      </w:r>
      <w:r w:rsidR="003C04A5" w:rsidRPr="00D93C78">
        <w:t>,</w:t>
      </w:r>
      <w:r w:rsidR="00FA00DF" w:rsidRPr="00D93C78">
        <w:t xml:space="preserve"> are vinylmethylsilanediol, CAS No 3959-12-4 (</w:t>
      </w:r>
      <w:r w:rsidR="00A80880" w:rsidRPr="00D93C78">
        <w:t xml:space="preserve">from </w:t>
      </w:r>
      <w:r w:rsidR="00FA00DF" w:rsidRPr="00D93C78">
        <w:rPr>
          <w:b/>
        </w:rPr>
        <w:t>VDCS</w:t>
      </w:r>
      <w:r w:rsidR="00FA00DF" w:rsidRPr="00D93C78">
        <w:t>) and vinylsilanetriol, CAS No 143-48-6 (</w:t>
      </w:r>
      <w:r w:rsidR="00A80880" w:rsidRPr="00D93C78">
        <w:t xml:space="preserve">from </w:t>
      </w:r>
      <w:r w:rsidR="00FA00DF" w:rsidRPr="00D93C78">
        <w:rPr>
          <w:b/>
        </w:rPr>
        <w:t>VTCS</w:t>
      </w:r>
      <w:r w:rsidR="00FA00DF" w:rsidRPr="00D93C78">
        <w:t>).  The silanols can condense spontaneously</w:t>
      </w:r>
      <w:r w:rsidR="00A65F4D" w:rsidRPr="00D93C78">
        <w:t xml:space="preserve"> </w:t>
      </w:r>
      <w:r w:rsidR="00FA00DF" w:rsidRPr="00D93C78">
        <w:t xml:space="preserve">to form highly cross-linked polymeric gels in uncontrolled environments.  </w:t>
      </w:r>
      <w:r w:rsidR="006742AD" w:rsidRPr="00D93C78">
        <w:t xml:space="preserve">Because of these properties, they cannot be isolated without spontaneously forming highly cross-linked polymeric gels in uncontrolled environments and as such cannot be tested.  </w:t>
      </w:r>
    </w:p>
    <w:p w:rsidR="007629AF" w:rsidRPr="00D93C78" w:rsidRDefault="007629AF" w:rsidP="00D93C78">
      <w:pPr>
        <w:pStyle w:val="Text"/>
        <w:spacing w:before="0" w:line="240" w:lineRule="auto"/>
        <w:jc w:val="both"/>
        <w:rPr>
          <w:szCs w:val="24"/>
        </w:rPr>
      </w:pPr>
    </w:p>
    <w:p w:rsidR="00F543EA" w:rsidRPr="00D93C78" w:rsidRDefault="00F543EA" w:rsidP="00D93C78">
      <w:pPr>
        <w:pStyle w:val="Text"/>
        <w:spacing w:before="0" w:line="240" w:lineRule="auto"/>
        <w:jc w:val="both"/>
        <w:rPr>
          <w:szCs w:val="24"/>
        </w:rPr>
      </w:pPr>
      <w:r w:rsidRPr="00D93C78">
        <w:rPr>
          <w:b/>
          <w:szCs w:val="24"/>
        </w:rPr>
        <w:t>VDCS</w:t>
      </w:r>
      <w:r w:rsidRPr="00D93C78">
        <w:rPr>
          <w:szCs w:val="24"/>
        </w:rPr>
        <w:t xml:space="preserve"> hydrolyzes to form two moles of HCl and one mole of vinylmethylsilanediol, whereas </w:t>
      </w:r>
      <w:r w:rsidRPr="00D93C78">
        <w:rPr>
          <w:b/>
          <w:szCs w:val="24"/>
        </w:rPr>
        <w:t>VTCS</w:t>
      </w:r>
      <w:r w:rsidRPr="00D93C78">
        <w:rPr>
          <w:szCs w:val="24"/>
        </w:rPr>
        <w:t xml:space="preserve"> forms three moles of HCl and one mole of</w:t>
      </w:r>
      <w:r w:rsidR="000C1F93" w:rsidRPr="00D93C78">
        <w:rPr>
          <w:szCs w:val="24"/>
        </w:rPr>
        <w:t xml:space="preserve"> </w:t>
      </w:r>
      <w:r w:rsidRPr="00D93C78">
        <w:rPr>
          <w:szCs w:val="24"/>
        </w:rPr>
        <w:t xml:space="preserve">vinylsilanetriol. The category is supported by (1) </w:t>
      </w:r>
      <w:r w:rsidR="008F1344" w:rsidRPr="00D93C78">
        <w:rPr>
          <w:szCs w:val="24"/>
        </w:rPr>
        <w:t>similar structure</w:t>
      </w:r>
      <w:r w:rsidR="006C2702" w:rsidRPr="00D93C78">
        <w:rPr>
          <w:szCs w:val="24"/>
        </w:rPr>
        <w:t>s</w:t>
      </w:r>
      <w:r w:rsidR="008F1344" w:rsidRPr="00D93C78">
        <w:rPr>
          <w:szCs w:val="24"/>
        </w:rPr>
        <w:t xml:space="preserve"> of category members, (2) </w:t>
      </w:r>
      <w:r w:rsidRPr="00D93C78">
        <w:rPr>
          <w:szCs w:val="24"/>
        </w:rPr>
        <w:t>the common hydrolysis product HCl and (</w:t>
      </w:r>
      <w:r w:rsidR="008F1344" w:rsidRPr="00D93C78">
        <w:rPr>
          <w:szCs w:val="24"/>
        </w:rPr>
        <w:t>3</w:t>
      </w:r>
      <w:r w:rsidRPr="00D93C78">
        <w:rPr>
          <w:szCs w:val="24"/>
        </w:rPr>
        <w:t>) similarities in physical-chemical properties of the silanol products (high water solubility and low log K</w:t>
      </w:r>
      <w:r w:rsidRPr="00D93C78">
        <w:rPr>
          <w:szCs w:val="24"/>
          <w:vertAlign w:val="subscript"/>
        </w:rPr>
        <w:t>ow</w:t>
      </w:r>
      <w:r w:rsidRPr="00D93C78">
        <w:rPr>
          <w:szCs w:val="24"/>
        </w:rPr>
        <w:t xml:space="preserve">). </w:t>
      </w:r>
    </w:p>
    <w:p w:rsidR="003E54EA" w:rsidRPr="00D93C78" w:rsidRDefault="003E54EA" w:rsidP="00CA2591">
      <w:pPr>
        <w:pStyle w:val="Heading3"/>
        <w:ind w:left="0" w:firstLine="0"/>
      </w:pPr>
      <w:r w:rsidRPr="00D93C78">
        <w:t>1.4.2</w:t>
      </w:r>
      <w:r w:rsidRPr="00D93C78">
        <w:tab/>
        <w:t>Analogue Justification</w:t>
      </w:r>
    </w:p>
    <w:p w:rsidR="0085126A" w:rsidRPr="00D93C78" w:rsidRDefault="00F50A28" w:rsidP="00D93C78">
      <w:pPr>
        <w:jc w:val="both"/>
        <w:rPr>
          <w:snapToGrid w:val="0"/>
        </w:rPr>
      </w:pPr>
      <w:r w:rsidRPr="00D93C78">
        <w:rPr>
          <w:i/>
        </w:rPr>
        <w:t xml:space="preserve">Hydrolysis Analogues. </w:t>
      </w:r>
      <w:r w:rsidRPr="00D93C78">
        <w:t xml:space="preserve">It </w:t>
      </w:r>
      <w:r w:rsidR="00A65F4D" w:rsidRPr="00D93C78">
        <w:t>is</w:t>
      </w:r>
      <w:r w:rsidRPr="00D93C78">
        <w:t xml:space="preserve"> appropriate to use other chlorosilane data to estimate hydrol</w:t>
      </w:r>
      <w:r w:rsidR="00A65F4D" w:rsidRPr="00D93C78">
        <w:t>ys</w:t>
      </w:r>
      <w:r w:rsidRPr="00D93C78">
        <w:t xml:space="preserve">is of the sponsored substances.  As noted above, </w:t>
      </w:r>
      <w:r w:rsidR="006C2702" w:rsidRPr="00D93C78">
        <w:t>analogues</w:t>
      </w:r>
      <w:r w:rsidR="00FC5095" w:rsidRPr="00D93C78">
        <w:t xml:space="preserve"> </w:t>
      </w:r>
      <w:r w:rsidRPr="00D93C78">
        <w:t xml:space="preserve">used for hydrolysis are </w:t>
      </w:r>
      <w:r w:rsidR="006C2702" w:rsidRPr="00D93C78">
        <w:t>DMDCS</w:t>
      </w:r>
      <w:r w:rsidRPr="00D93C78">
        <w:t xml:space="preserve"> and </w:t>
      </w:r>
      <w:r w:rsidR="006C2702" w:rsidRPr="00D93C78">
        <w:t>MTCS</w:t>
      </w:r>
      <w:r w:rsidRPr="00D93C78">
        <w:rPr>
          <w:snapToGrid w:val="0"/>
        </w:rPr>
        <w:t xml:space="preserve">. </w:t>
      </w:r>
      <w:r w:rsidR="00FC5095" w:rsidRPr="00D93C78">
        <w:rPr>
          <w:snapToGrid w:val="0"/>
        </w:rPr>
        <w:t xml:space="preserve">These two analogous chlorosilanes were selected based on a hydrolysis study of six chlorosilanes with varying substitutions.  Despite differences in substitution of these chlorosilanes, all the half-lives were &lt; 17 seconds.  </w:t>
      </w:r>
    </w:p>
    <w:p w:rsidR="00F50A28" w:rsidRPr="00D93C78" w:rsidRDefault="00F50A28" w:rsidP="00D93C78">
      <w:pPr>
        <w:jc w:val="both"/>
      </w:pPr>
    </w:p>
    <w:p w:rsidR="00FA00DF" w:rsidRPr="00D93C78" w:rsidRDefault="00F50A28" w:rsidP="00D93C78">
      <w:pPr>
        <w:pStyle w:val="Text"/>
        <w:spacing w:before="0" w:line="240" w:lineRule="auto"/>
        <w:jc w:val="both"/>
        <w:rPr>
          <w:szCs w:val="24"/>
        </w:rPr>
      </w:pPr>
      <w:r w:rsidRPr="00D93C78">
        <w:rPr>
          <w:i/>
          <w:szCs w:val="24"/>
        </w:rPr>
        <w:t xml:space="preserve">Human Health and Aquatic Toxicity Analogues.  </w:t>
      </w:r>
      <w:r w:rsidR="00630C13" w:rsidRPr="00D93C78">
        <w:rPr>
          <w:szCs w:val="24"/>
        </w:rPr>
        <w:t>T</w:t>
      </w:r>
      <w:r w:rsidR="005F0F34" w:rsidRPr="00D93C78">
        <w:rPr>
          <w:szCs w:val="24"/>
        </w:rPr>
        <w:t>rimethoxyvinylsilane</w:t>
      </w:r>
      <w:r w:rsidR="00CE4B00" w:rsidRPr="00D93C78">
        <w:rPr>
          <w:szCs w:val="24"/>
        </w:rPr>
        <w:t xml:space="preserve"> (</w:t>
      </w:r>
      <w:r w:rsidR="005F0F34" w:rsidRPr="00D93C78">
        <w:rPr>
          <w:szCs w:val="24"/>
        </w:rPr>
        <w:t>V</w:t>
      </w:r>
      <w:r w:rsidR="00CE4B00" w:rsidRPr="00D93C78">
        <w:rPr>
          <w:szCs w:val="24"/>
        </w:rPr>
        <w:t>TMS</w:t>
      </w:r>
      <w:r w:rsidR="00EC488C" w:rsidRPr="00D93C78">
        <w:rPr>
          <w:szCs w:val="24"/>
        </w:rPr>
        <w:t>; CAS No.</w:t>
      </w:r>
      <w:r w:rsidR="00172771" w:rsidRPr="00D93C78">
        <w:rPr>
          <w:szCs w:val="24"/>
        </w:rPr>
        <w:t xml:space="preserve"> 2768-02-7</w:t>
      </w:r>
      <w:r w:rsidR="00CE4B00" w:rsidRPr="00D93C78">
        <w:rPr>
          <w:szCs w:val="24"/>
        </w:rPr>
        <w:t>)</w:t>
      </w:r>
      <w:r w:rsidR="001B2DB6" w:rsidRPr="00D93C78">
        <w:rPr>
          <w:szCs w:val="24"/>
        </w:rPr>
        <w:t xml:space="preserve"> </w:t>
      </w:r>
      <w:r w:rsidR="00C83E2A" w:rsidRPr="00D93C78">
        <w:rPr>
          <w:szCs w:val="24"/>
        </w:rPr>
        <w:t xml:space="preserve">hydrolyzes </w:t>
      </w:r>
      <w:r w:rsidR="00CE4B00" w:rsidRPr="00D93C78">
        <w:rPr>
          <w:szCs w:val="24"/>
        </w:rPr>
        <w:t>at pH 4, 7 and 9 with t</w:t>
      </w:r>
      <w:r w:rsidR="00CE4B00" w:rsidRPr="00D93C78">
        <w:rPr>
          <w:szCs w:val="24"/>
          <w:vertAlign w:val="subscript"/>
        </w:rPr>
        <w:t xml:space="preserve">1/2 </w:t>
      </w:r>
      <w:r w:rsidR="00EC2CFF" w:rsidRPr="00D93C78">
        <w:rPr>
          <w:szCs w:val="24"/>
          <w:u w:val="single"/>
        </w:rPr>
        <w:t>&lt;</w:t>
      </w:r>
      <w:r w:rsidR="006C2702" w:rsidRPr="00D93C78">
        <w:rPr>
          <w:szCs w:val="24"/>
        </w:rPr>
        <w:t xml:space="preserve"> </w:t>
      </w:r>
      <w:r w:rsidR="00EC2CFF" w:rsidRPr="00D93C78">
        <w:rPr>
          <w:szCs w:val="24"/>
        </w:rPr>
        <w:t>10 minutes, &lt;</w:t>
      </w:r>
      <w:r w:rsidR="00CE4B00" w:rsidRPr="00D93C78">
        <w:rPr>
          <w:szCs w:val="24"/>
        </w:rPr>
        <w:t xml:space="preserve"> 2.</w:t>
      </w:r>
      <w:r w:rsidR="00EC2CFF" w:rsidRPr="00D93C78">
        <w:rPr>
          <w:szCs w:val="24"/>
        </w:rPr>
        <w:t>4 hours</w:t>
      </w:r>
      <w:r w:rsidR="00CE4B00" w:rsidRPr="00D93C78">
        <w:rPr>
          <w:szCs w:val="24"/>
        </w:rPr>
        <w:t xml:space="preserve"> and </w:t>
      </w:r>
      <w:r w:rsidR="00EC2CFF" w:rsidRPr="00D93C78">
        <w:rPr>
          <w:szCs w:val="24"/>
        </w:rPr>
        <w:t>&lt;</w:t>
      </w:r>
      <w:r w:rsidR="006C2702" w:rsidRPr="00D93C78">
        <w:rPr>
          <w:szCs w:val="24"/>
        </w:rPr>
        <w:t xml:space="preserve"> </w:t>
      </w:r>
      <w:r w:rsidR="00EC2CFF" w:rsidRPr="00D93C78">
        <w:rPr>
          <w:szCs w:val="24"/>
        </w:rPr>
        <w:t>10 minutes</w:t>
      </w:r>
      <w:r w:rsidR="00CE4B00" w:rsidRPr="00D93C78">
        <w:rPr>
          <w:szCs w:val="24"/>
        </w:rPr>
        <w:t>, respectively.</w:t>
      </w:r>
      <w:r w:rsidR="00C83E2A" w:rsidRPr="00D93C78">
        <w:rPr>
          <w:szCs w:val="24"/>
        </w:rPr>
        <w:t xml:space="preserve"> </w:t>
      </w:r>
      <w:r w:rsidR="000A409E" w:rsidRPr="00D93C78">
        <w:rPr>
          <w:szCs w:val="24"/>
        </w:rPr>
        <w:t xml:space="preserve">The final products of hydrolysis are </w:t>
      </w:r>
      <w:r w:rsidR="00181E9A" w:rsidRPr="00D93C78">
        <w:rPr>
          <w:szCs w:val="24"/>
        </w:rPr>
        <w:t xml:space="preserve">expected to be </w:t>
      </w:r>
      <w:r w:rsidR="000A409E" w:rsidRPr="00D93C78">
        <w:rPr>
          <w:szCs w:val="24"/>
        </w:rPr>
        <w:t xml:space="preserve">methanol and </w:t>
      </w:r>
      <w:r w:rsidR="006C2702" w:rsidRPr="00D93C78">
        <w:rPr>
          <w:szCs w:val="24"/>
        </w:rPr>
        <w:t>Vinylsilanetriol; toxicity due to hydrolysis to methanol is expected to be negligible</w:t>
      </w:r>
      <w:r w:rsidR="000A409E" w:rsidRPr="00D93C78">
        <w:rPr>
          <w:szCs w:val="24"/>
        </w:rPr>
        <w:t xml:space="preserve">. </w:t>
      </w:r>
      <w:r w:rsidR="00711D4F" w:rsidRPr="00D93C78">
        <w:rPr>
          <w:szCs w:val="24"/>
        </w:rPr>
        <w:t xml:space="preserve"> </w:t>
      </w:r>
      <w:r w:rsidR="00CE4B00" w:rsidRPr="00D93C78">
        <w:rPr>
          <w:szCs w:val="24"/>
        </w:rPr>
        <w:t xml:space="preserve">In aqueous environments, exposures to </w:t>
      </w:r>
      <w:r w:rsidR="00EC2CFF" w:rsidRPr="00D93C78">
        <w:rPr>
          <w:szCs w:val="24"/>
        </w:rPr>
        <w:t>V</w:t>
      </w:r>
      <w:r w:rsidR="00CE4B00" w:rsidRPr="00D93C78">
        <w:rPr>
          <w:szCs w:val="24"/>
        </w:rPr>
        <w:t xml:space="preserve">TMS are likely to be transient and observed toxicity is likely due primarily to the hydrolysis products methanol, </w:t>
      </w:r>
      <w:r w:rsidR="00EC2CFF" w:rsidRPr="00D93C78">
        <w:rPr>
          <w:szCs w:val="24"/>
        </w:rPr>
        <w:t>vin</w:t>
      </w:r>
      <w:r w:rsidR="00CE4B00" w:rsidRPr="00D93C78">
        <w:rPr>
          <w:szCs w:val="24"/>
        </w:rPr>
        <w:t xml:space="preserve">ylsilanetriol, and condensed silanetriol materials (high molecular weight polymers). </w:t>
      </w:r>
      <w:r w:rsidR="006C2702" w:rsidRPr="00D93C78">
        <w:rPr>
          <w:szCs w:val="24"/>
        </w:rPr>
        <w:t>Because one of</w:t>
      </w:r>
      <w:r w:rsidR="000D0E75" w:rsidRPr="00D93C78">
        <w:rPr>
          <w:szCs w:val="24"/>
        </w:rPr>
        <w:t xml:space="preserve"> the sponsored substance (</w:t>
      </w:r>
      <w:r w:rsidR="000D0E75" w:rsidRPr="00D93C78">
        <w:rPr>
          <w:b/>
          <w:szCs w:val="24"/>
        </w:rPr>
        <w:t>VTCS</w:t>
      </w:r>
      <w:r w:rsidR="000D0E75" w:rsidRPr="00D93C78">
        <w:rPr>
          <w:szCs w:val="24"/>
        </w:rPr>
        <w:t xml:space="preserve">) </w:t>
      </w:r>
      <w:r w:rsidR="00E53CC8" w:rsidRPr="00D93C78">
        <w:rPr>
          <w:szCs w:val="24"/>
        </w:rPr>
        <w:t>has the same expected</w:t>
      </w:r>
      <w:r w:rsidR="000D0E75" w:rsidRPr="00D93C78">
        <w:rPr>
          <w:szCs w:val="24"/>
        </w:rPr>
        <w:t xml:space="preserve"> </w:t>
      </w:r>
      <w:r w:rsidR="00E53CC8" w:rsidRPr="00D93C78">
        <w:rPr>
          <w:szCs w:val="24"/>
        </w:rPr>
        <w:t xml:space="preserve">product </w:t>
      </w:r>
      <w:r w:rsidR="006C2702" w:rsidRPr="00D93C78">
        <w:rPr>
          <w:szCs w:val="24"/>
        </w:rPr>
        <w:t>(vinylsilanetriol)</w:t>
      </w:r>
      <w:r w:rsidR="00630C13" w:rsidRPr="00D93C78">
        <w:rPr>
          <w:szCs w:val="24"/>
        </w:rPr>
        <w:t xml:space="preserve"> </w:t>
      </w:r>
      <w:r w:rsidR="006C2702" w:rsidRPr="00D93C78">
        <w:rPr>
          <w:szCs w:val="24"/>
        </w:rPr>
        <w:t xml:space="preserve">as VTMS </w:t>
      </w:r>
      <w:r w:rsidR="00630C13" w:rsidRPr="00D93C78">
        <w:rPr>
          <w:szCs w:val="24"/>
        </w:rPr>
        <w:t xml:space="preserve">and due to similarities </w:t>
      </w:r>
      <w:r w:rsidR="006C2702" w:rsidRPr="00D93C78">
        <w:rPr>
          <w:szCs w:val="24"/>
        </w:rPr>
        <w:t xml:space="preserve">between this product and vinylmethylsilanediol </w:t>
      </w:r>
      <w:r w:rsidR="00630C13" w:rsidRPr="00D93C78">
        <w:rPr>
          <w:szCs w:val="24"/>
        </w:rPr>
        <w:t>(</w:t>
      </w:r>
      <w:r w:rsidR="000F016E" w:rsidRPr="00D93C78">
        <w:rPr>
          <w:szCs w:val="24"/>
        </w:rPr>
        <w:t xml:space="preserve">see </w:t>
      </w:r>
      <w:r w:rsidR="00630C13" w:rsidRPr="00D93C78">
        <w:rPr>
          <w:szCs w:val="24"/>
        </w:rPr>
        <w:t xml:space="preserve">Table </w:t>
      </w:r>
      <w:r w:rsidR="000F016E" w:rsidRPr="00D93C78">
        <w:rPr>
          <w:szCs w:val="24"/>
        </w:rPr>
        <w:t>2</w:t>
      </w:r>
      <w:r w:rsidR="00630C13" w:rsidRPr="00D93C78">
        <w:rPr>
          <w:szCs w:val="24"/>
        </w:rPr>
        <w:t>)</w:t>
      </w:r>
      <w:r w:rsidR="00E53CC8" w:rsidRPr="00D93C78">
        <w:rPr>
          <w:szCs w:val="24"/>
        </w:rPr>
        <w:t xml:space="preserve">, the analogue </w:t>
      </w:r>
      <w:r w:rsidR="00EC2CFF" w:rsidRPr="00D93C78">
        <w:rPr>
          <w:szCs w:val="24"/>
        </w:rPr>
        <w:t>V</w:t>
      </w:r>
      <w:r w:rsidR="00CE4B00" w:rsidRPr="00D93C78">
        <w:rPr>
          <w:szCs w:val="24"/>
        </w:rPr>
        <w:t xml:space="preserve">TMS can be used as a supporting substance for </w:t>
      </w:r>
      <w:r w:rsidR="00EC2CFF" w:rsidRPr="00D93C78">
        <w:rPr>
          <w:szCs w:val="24"/>
        </w:rPr>
        <w:t>the vinyl chlorosilanes</w:t>
      </w:r>
      <w:r w:rsidR="001B2DB6" w:rsidRPr="00D93C78">
        <w:rPr>
          <w:szCs w:val="24"/>
        </w:rPr>
        <w:t>.</w:t>
      </w:r>
      <w:r w:rsidR="006C2702" w:rsidRPr="00D93C78">
        <w:rPr>
          <w:szCs w:val="24"/>
        </w:rPr>
        <w:t xml:space="preserve">  Due to rapid hydrolysis of the vinyl chlorosilanes and expected corrosive effects of one of the products (HCl), the data for HCl are also presented for a complete consideration of the toxicity of hydrolysis products for both human health and aquatic toxicity endpoints.</w:t>
      </w:r>
    </w:p>
    <w:p w:rsidR="00C83E2A" w:rsidRPr="00D93C78" w:rsidRDefault="00324E22" w:rsidP="00D93C78">
      <w:pPr>
        <w:pStyle w:val="Text"/>
        <w:spacing w:before="0" w:line="240" w:lineRule="auto"/>
        <w:jc w:val="both"/>
        <w:rPr>
          <w:szCs w:val="24"/>
        </w:rPr>
      </w:pPr>
      <w:r w:rsidRPr="00D93C78">
        <w:rPr>
          <w:szCs w:val="24"/>
        </w:rPr>
        <w:t xml:space="preserve">No test data are available for short-term toxicity of </w:t>
      </w:r>
      <w:r w:rsidR="00FA00DF" w:rsidRPr="00D93C78">
        <w:rPr>
          <w:b/>
          <w:szCs w:val="24"/>
        </w:rPr>
        <w:t>VDCS</w:t>
      </w:r>
      <w:r w:rsidRPr="00D93C78">
        <w:rPr>
          <w:szCs w:val="24"/>
        </w:rPr>
        <w:t xml:space="preserve"> to </w:t>
      </w:r>
      <w:r w:rsidR="00724D62" w:rsidRPr="00D93C78">
        <w:rPr>
          <w:szCs w:val="24"/>
        </w:rPr>
        <w:t>aquatic organisms</w:t>
      </w:r>
      <w:r w:rsidRPr="00D93C78">
        <w:rPr>
          <w:szCs w:val="24"/>
        </w:rPr>
        <w:t>. Reliable data are available for the read-across substance, dimethylsilanediol (</w:t>
      </w:r>
      <w:r w:rsidR="001102F4" w:rsidRPr="00D93C78">
        <w:rPr>
          <w:szCs w:val="24"/>
        </w:rPr>
        <w:t xml:space="preserve">DMSD, </w:t>
      </w:r>
      <w:r w:rsidRPr="00D93C78">
        <w:rPr>
          <w:szCs w:val="24"/>
        </w:rPr>
        <w:t xml:space="preserve">CAS 1066-42-8). </w:t>
      </w:r>
      <w:r w:rsidR="00FA00DF" w:rsidRPr="00D93C78">
        <w:rPr>
          <w:szCs w:val="24"/>
        </w:rPr>
        <w:t>DMSD</w:t>
      </w:r>
      <w:r w:rsidRPr="00D93C78">
        <w:rPr>
          <w:szCs w:val="24"/>
        </w:rPr>
        <w:t xml:space="preserve"> is a close structural analogue of </w:t>
      </w:r>
      <w:r w:rsidR="00AB69F8" w:rsidRPr="00D93C78">
        <w:rPr>
          <w:szCs w:val="24"/>
        </w:rPr>
        <w:t>vinylmethyl</w:t>
      </w:r>
      <w:r w:rsidRPr="00D93C78">
        <w:rPr>
          <w:szCs w:val="24"/>
        </w:rPr>
        <w:t xml:space="preserve">silanediol. Read-across from </w:t>
      </w:r>
      <w:r w:rsidR="00FA00DF" w:rsidRPr="00D93C78">
        <w:rPr>
          <w:szCs w:val="24"/>
        </w:rPr>
        <w:t>DMSD</w:t>
      </w:r>
      <w:r w:rsidRPr="00D93C78">
        <w:rPr>
          <w:szCs w:val="24"/>
        </w:rPr>
        <w:t xml:space="preserve"> to</w:t>
      </w:r>
      <w:r w:rsidR="00724D62" w:rsidRPr="00D93C78">
        <w:rPr>
          <w:szCs w:val="24"/>
        </w:rPr>
        <w:t xml:space="preserve"> </w:t>
      </w:r>
      <w:r w:rsidR="00AB69F8" w:rsidRPr="00D93C78">
        <w:rPr>
          <w:szCs w:val="24"/>
        </w:rPr>
        <w:t>vinylmethyl</w:t>
      </w:r>
      <w:r w:rsidRPr="00D93C78">
        <w:rPr>
          <w:szCs w:val="24"/>
        </w:rPr>
        <w:t>silanediol is appropriate because both are small molecule alkylsilanols whose properties are dominated by presence of the silanediol group.</w:t>
      </w:r>
    </w:p>
    <w:p w:rsidR="00DC2DEA" w:rsidRPr="00D93C78" w:rsidRDefault="00DC2DEA" w:rsidP="00740E9A">
      <w:pPr>
        <w:pStyle w:val="Caption"/>
        <w:ind w:left="60"/>
        <w:jc w:val="both"/>
        <w:rPr>
          <w:rFonts w:ascii="Times New Roman" w:hAnsi="Times New Roman"/>
          <w:b w:val="0"/>
          <w:bCs w:val="0"/>
          <w:szCs w:val="24"/>
        </w:rPr>
      </w:pPr>
      <w:bookmarkStart w:id="28" w:name="_Toc310335202"/>
      <w:r w:rsidRPr="00D93C78">
        <w:rPr>
          <w:rFonts w:ascii="Times New Roman" w:hAnsi="Times New Roman"/>
          <w:szCs w:val="24"/>
        </w:rPr>
        <w:t xml:space="preserve">Table </w:t>
      </w:r>
      <w:r w:rsidR="000F016E" w:rsidRPr="00D93C78">
        <w:rPr>
          <w:rFonts w:ascii="Times New Roman" w:hAnsi="Times New Roman"/>
          <w:b w:val="0"/>
          <w:szCs w:val="24"/>
        </w:rPr>
        <w:t>2</w:t>
      </w:r>
      <w:r w:rsidRPr="00D93C78">
        <w:rPr>
          <w:rFonts w:ascii="Times New Roman" w:hAnsi="Times New Roman"/>
          <w:b w:val="0"/>
          <w:bCs w:val="0"/>
          <w:szCs w:val="24"/>
        </w:rPr>
        <w:t xml:space="preserve"> </w:t>
      </w:r>
      <w:r w:rsidR="00CA2591">
        <w:rPr>
          <w:rFonts w:ascii="Times New Roman" w:hAnsi="Times New Roman"/>
          <w:b w:val="0"/>
          <w:bCs w:val="0"/>
          <w:szCs w:val="24"/>
        </w:rPr>
        <w:t xml:space="preserve">  </w:t>
      </w:r>
      <w:r w:rsidRPr="00D93C78">
        <w:rPr>
          <w:rFonts w:ascii="Times New Roman" w:hAnsi="Times New Roman"/>
          <w:bCs w:val="0"/>
          <w:szCs w:val="24"/>
        </w:rPr>
        <w:t>Summary of water solubility and partition coefficient</w:t>
      </w:r>
      <w:r w:rsidR="000E2F3D" w:rsidRPr="00D93C78">
        <w:rPr>
          <w:rFonts w:ascii="Times New Roman" w:hAnsi="Times New Roman"/>
          <w:bCs w:val="0"/>
          <w:szCs w:val="24"/>
        </w:rPr>
        <w:t xml:space="preserve"> </w:t>
      </w:r>
      <w:r w:rsidRPr="00D93C78">
        <w:rPr>
          <w:rFonts w:ascii="Times New Roman" w:hAnsi="Times New Roman"/>
          <w:bCs w:val="0"/>
          <w:szCs w:val="24"/>
        </w:rPr>
        <w:t xml:space="preserve">of </w:t>
      </w:r>
      <w:r w:rsidR="00EC7DB4" w:rsidRPr="00D93C78">
        <w:rPr>
          <w:rFonts w:ascii="Times New Roman" w:hAnsi="Times New Roman"/>
          <w:bCs w:val="0"/>
          <w:szCs w:val="24"/>
        </w:rPr>
        <w:t>expected hydrolysis products</w:t>
      </w:r>
      <w:r w:rsidR="003C04A5" w:rsidRPr="00D93C78">
        <w:rPr>
          <w:rFonts w:ascii="Times New Roman" w:hAnsi="Times New Roman"/>
          <w:bCs w:val="0"/>
          <w:szCs w:val="24"/>
        </w:rPr>
        <w:t xml:space="preserve"> (silanols)</w:t>
      </w:r>
      <w:bookmarkEnd w:id="28"/>
    </w:p>
    <w:tbl>
      <w:tblPr>
        <w:tblW w:w="4850" w:type="pct"/>
        <w:tblInd w:w="17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2705"/>
        <w:gridCol w:w="3427"/>
        <w:gridCol w:w="3427"/>
      </w:tblGrid>
      <w:tr w:rsidR="000E2F3D" w:rsidRPr="00D93C78" w:rsidTr="00CA2591">
        <w:trPr>
          <w:trHeight w:val="417"/>
        </w:trPr>
        <w:tc>
          <w:tcPr>
            <w:tcW w:w="2628" w:type="dxa"/>
            <w:tcBorders>
              <w:top w:val="single" w:sz="12" w:space="0" w:color="000000"/>
              <w:bottom w:val="single" w:sz="12" w:space="0" w:color="000000"/>
            </w:tcBorders>
            <w:shd w:val="clear" w:color="auto" w:fill="auto"/>
          </w:tcPr>
          <w:p w:rsidR="000E2F3D" w:rsidRPr="00CA2591" w:rsidRDefault="000E2F3D" w:rsidP="00CA2591">
            <w:pPr>
              <w:pStyle w:val="Tabletext"/>
              <w:jc w:val="center"/>
              <w:rPr>
                <w:b/>
                <w:bCs/>
              </w:rPr>
            </w:pPr>
            <w:r w:rsidRPr="00CA2591">
              <w:rPr>
                <w:b/>
                <w:bCs/>
              </w:rPr>
              <w:t>Property (a)</w:t>
            </w:r>
          </w:p>
        </w:tc>
        <w:tc>
          <w:tcPr>
            <w:tcW w:w="3330" w:type="dxa"/>
            <w:tcBorders>
              <w:top w:val="single" w:sz="12" w:space="0" w:color="000000"/>
              <w:bottom w:val="single" w:sz="12" w:space="0" w:color="000000"/>
            </w:tcBorders>
          </w:tcPr>
          <w:p w:rsidR="000E2F3D" w:rsidRPr="00CA2591" w:rsidRDefault="000E2F3D" w:rsidP="00CA2591">
            <w:pPr>
              <w:pStyle w:val="BodyText"/>
              <w:tabs>
                <w:tab w:val="left" w:pos="360"/>
              </w:tabs>
              <w:spacing w:after="0"/>
              <w:jc w:val="center"/>
              <w:rPr>
                <w:b/>
                <w:sz w:val="20"/>
              </w:rPr>
            </w:pPr>
            <w:r w:rsidRPr="00CA2591">
              <w:rPr>
                <w:b/>
                <w:sz w:val="20"/>
              </w:rPr>
              <w:t>Vinylmethylsilanediol, CAS No. 3959-12-4 (b)</w:t>
            </w:r>
          </w:p>
        </w:tc>
        <w:tc>
          <w:tcPr>
            <w:tcW w:w="3330" w:type="dxa"/>
            <w:tcBorders>
              <w:top w:val="single" w:sz="12" w:space="0" w:color="000000"/>
              <w:bottom w:val="single" w:sz="12" w:space="0" w:color="000000"/>
            </w:tcBorders>
          </w:tcPr>
          <w:p w:rsidR="000E2F3D" w:rsidRPr="00CA2591" w:rsidRDefault="000E2F3D" w:rsidP="00CA2591">
            <w:pPr>
              <w:pStyle w:val="BodyText"/>
              <w:tabs>
                <w:tab w:val="left" w:pos="360"/>
              </w:tabs>
              <w:spacing w:after="0"/>
              <w:jc w:val="center"/>
              <w:rPr>
                <w:b/>
                <w:sz w:val="20"/>
              </w:rPr>
            </w:pPr>
            <w:r w:rsidRPr="00CA2591">
              <w:rPr>
                <w:b/>
                <w:sz w:val="20"/>
              </w:rPr>
              <w:t>Vinylsilanetriol, CAS No. 143-48-6 (c)</w:t>
            </w:r>
          </w:p>
        </w:tc>
      </w:tr>
      <w:tr w:rsidR="000E2F3D" w:rsidRPr="00D93C78" w:rsidTr="00CA2591">
        <w:tc>
          <w:tcPr>
            <w:tcW w:w="2628" w:type="dxa"/>
            <w:tcBorders>
              <w:top w:val="single" w:sz="12" w:space="0" w:color="000000"/>
            </w:tcBorders>
            <w:shd w:val="clear" w:color="auto" w:fill="auto"/>
          </w:tcPr>
          <w:p w:rsidR="000E2F3D" w:rsidRPr="00CA2591" w:rsidRDefault="000E2F3D" w:rsidP="00CA2591">
            <w:pPr>
              <w:pStyle w:val="Tabletext"/>
              <w:jc w:val="center"/>
            </w:pPr>
            <w:r w:rsidRPr="00CA2591">
              <w:t>Water solubility, mg/L at 20</w:t>
            </w:r>
            <w:r w:rsidRPr="00CA2591">
              <w:rPr>
                <w:vertAlign w:val="superscript"/>
              </w:rPr>
              <w:t>o</w:t>
            </w:r>
            <w:r w:rsidRPr="00CA2591">
              <w:t>C</w:t>
            </w:r>
          </w:p>
        </w:tc>
        <w:tc>
          <w:tcPr>
            <w:tcW w:w="3330" w:type="dxa"/>
            <w:tcBorders>
              <w:top w:val="single" w:sz="12" w:space="0" w:color="000000"/>
            </w:tcBorders>
          </w:tcPr>
          <w:p w:rsidR="000E2F3D" w:rsidRPr="00CA2591" w:rsidRDefault="000E2F3D" w:rsidP="00CA2591">
            <w:pPr>
              <w:pStyle w:val="Tabletext"/>
              <w:jc w:val="center"/>
              <w:rPr>
                <w:highlight w:val="yellow"/>
              </w:rPr>
            </w:pPr>
            <w:r w:rsidRPr="00CA2591">
              <w:t>125,900 (estimated; US EPA, 2012 (EPISuite v4.10)</w:t>
            </w:r>
          </w:p>
        </w:tc>
        <w:tc>
          <w:tcPr>
            <w:tcW w:w="3330" w:type="dxa"/>
            <w:tcBorders>
              <w:top w:val="single" w:sz="12" w:space="0" w:color="000000"/>
            </w:tcBorders>
          </w:tcPr>
          <w:p w:rsidR="000E2F3D" w:rsidRPr="00CA2591" w:rsidRDefault="000E2F3D" w:rsidP="00CA2591">
            <w:pPr>
              <w:pStyle w:val="Tabletext"/>
              <w:jc w:val="center"/>
              <w:rPr>
                <w:highlight w:val="yellow"/>
              </w:rPr>
            </w:pPr>
            <w:r w:rsidRPr="00CA2591">
              <w:t>1,000,000  (estimated; US EPA, 2012 (EPISuite v4.10)</w:t>
            </w:r>
          </w:p>
        </w:tc>
      </w:tr>
      <w:tr w:rsidR="000E2F3D" w:rsidRPr="00D93C78" w:rsidTr="00CA2591">
        <w:tc>
          <w:tcPr>
            <w:tcW w:w="2628" w:type="dxa"/>
            <w:shd w:val="clear" w:color="auto" w:fill="auto"/>
          </w:tcPr>
          <w:p w:rsidR="000E2F3D" w:rsidRPr="00CA2591" w:rsidRDefault="000E2F3D" w:rsidP="00CA2591">
            <w:pPr>
              <w:pStyle w:val="Tabletext"/>
              <w:jc w:val="center"/>
            </w:pPr>
            <w:r w:rsidRPr="00CA2591">
              <w:t>Partition coefficient n-octanol/water (log value)</w:t>
            </w:r>
          </w:p>
        </w:tc>
        <w:tc>
          <w:tcPr>
            <w:tcW w:w="3330" w:type="dxa"/>
          </w:tcPr>
          <w:p w:rsidR="000E2F3D" w:rsidRPr="00CA2591" w:rsidRDefault="000E2F3D" w:rsidP="00CA2591">
            <w:pPr>
              <w:jc w:val="center"/>
              <w:rPr>
                <w:sz w:val="20"/>
                <w:szCs w:val="20"/>
                <w:highlight w:val="yellow"/>
              </w:rPr>
            </w:pPr>
            <w:r w:rsidRPr="00CA2591">
              <w:rPr>
                <w:sz w:val="20"/>
                <w:szCs w:val="20"/>
              </w:rPr>
              <w:t>-0.05 at 20-25</w:t>
            </w:r>
            <w:r w:rsidRPr="00CA2591">
              <w:rPr>
                <w:sz w:val="20"/>
                <w:szCs w:val="20"/>
                <w:vertAlign w:val="superscript"/>
              </w:rPr>
              <w:t>o</w:t>
            </w:r>
            <w:r w:rsidRPr="00CA2591">
              <w:rPr>
                <w:sz w:val="20"/>
                <w:szCs w:val="20"/>
              </w:rPr>
              <w:t>C  (estimated; US EPA, 2012 (EPISuite v4.10)</w:t>
            </w:r>
          </w:p>
        </w:tc>
        <w:tc>
          <w:tcPr>
            <w:tcW w:w="3330" w:type="dxa"/>
          </w:tcPr>
          <w:p w:rsidR="000E2F3D" w:rsidRPr="00CA2591" w:rsidRDefault="000E2F3D" w:rsidP="00CA2591">
            <w:pPr>
              <w:jc w:val="center"/>
              <w:rPr>
                <w:sz w:val="20"/>
                <w:szCs w:val="20"/>
                <w:highlight w:val="yellow"/>
              </w:rPr>
            </w:pPr>
            <w:r w:rsidRPr="00CA2591">
              <w:rPr>
                <w:sz w:val="20"/>
                <w:szCs w:val="20"/>
              </w:rPr>
              <w:t>-2.01 at 20</w:t>
            </w:r>
            <w:r w:rsidRPr="00CA2591">
              <w:rPr>
                <w:sz w:val="20"/>
                <w:szCs w:val="20"/>
                <w:vertAlign w:val="superscript"/>
              </w:rPr>
              <w:t>o</w:t>
            </w:r>
            <w:r w:rsidRPr="00CA2591">
              <w:rPr>
                <w:sz w:val="20"/>
                <w:szCs w:val="20"/>
              </w:rPr>
              <w:t>C   (estimated; US EPA, 2012 (EPISuite v4.10)</w:t>
            </w:r>
          </w:p>
        </w:tc>
      </w:tr>
    </w:tbl>
    <w:p w:rsidR="00DC2DEA" w:rsidRPr="00CA2591" w:rsidRDefault="000E2F3D" w:rsidP="00D93C78">
      <w:pPr>
        <w:pStyle w:val="BodyText"/>
        <w:spacing w:after="0"/>
        <w:rPr>
          <w:sz w:val="20"/>
        </w:rPr>
      </w:pPr>
      <w:r w:rsidRPr="00CA2591">
        <w:rPr>
          <w:sz w:val="20"/>
        </w:rPr>
        <w:t xml:space="preserve">(a) </w:t>
      </w:r>
      <w:r w:rsidR="00DC2DEA" w:rsidRPr="00CA2591">
        <w:rPr>
          <w:sz w:val="20"/>
        </w:rPr>
        <w:t>Reliability =</w:t>
      </w:r>
      <w:r w:rsidR="00695F25" w:rsidRPr="00CA2591">
        <w:rPr>
          <w:sz w:val="20"/>
        </w:rPr>
        <w:t xml:space="preserve"> </w:t>
      </w:r>
      <w:r w:rsidR="00DC2DEA" w:rsidRPr="00CA2591">
        <w:rPr>
          <w:sz w:val="20"/>
        </w:rPr>
        <w:t>4; The EPI Suite program developed by the U.S. Environmental Protection Agency and Syracuse Research Corporation has not been validated for chemicals that contain silanes in their molecular structure (although some measured data are included in the training data set); therefore, there is uncertainty associated with the calculated values and they should be used with caution whenever they are reported.</w:t>
      </w:r>
    </w:p>
    <w:p w:rsidR="006742AD" w:rsidRPr="00CA2591" w:rsidRDefault="006742AD" w:rsidP="00D93C78">
      <w:pPr>
        <w:pStyle w:val="BodyText"/>
        <w:spacing w:after="0"/>
        <w:rPr>
          <w:sz w:val="20"/>
        </w:rPr>
      </w:pPr>
      <w:r w:rsidRPr="00CA2591">
        <w:rPr>
          <w:sz w:val="20"/>
        </w:rPr>
        <w:t xml:space="preserve">(b) Expected hydrolysis product of </w:t>
      </w:r>
      <w:r w:rsidRPr="00CA2591">
        <w:rPr>
          <w:b/>
          <w:sz w:val="20"/>
        </w:rPr>
        <w:t>VDCS</w:t>
      </w:r>
    </w:p>
    <w:p w:rsidR="00EC7DB4" w:rsidRPr="00CA2591" w:rsidRDefault="00EC7DB4" w:rsidP="00D93C78">
      <w:pPr>
        <w:pStyle w:val="BodyText"/>
        <w:spacing w:after="0"/>
        <w:rPr>
          <w:sz w:val="20"/>
        </w:rPr>
      </w:pPr>
      <w:r w:rsidRPr="00CA2591">
        <w:rPr>
          <w:sz w:val="20"/>
        </w:rPr>
        <w:t>(</w:t>
      </w:r>
      <w:r w:rsidR="006742AD" w:rsidRPr="00CA2591">
        <w:rPr>
          <w:sz w:val="20"/>
        </w:rPr>
        <w:t>c</w:t>
      </w:r>
      <w:r w:rsidRPr="00CA2591">
        <w:rPr>
          <w:sz w:val="20"/>
        </w:rPr>
        <w:t xml:space="preserve">)Expected hydrolysis product </w:t>
      </w:r>
      <w:r w:rsidR="006742AD" w:rsidRPr="00CA2591">
        <w:rPr>
          <w:sz w:val="20"/>
        </w:rPr>
        <w:t xml:space="preserve">of </w:t>
      </w:r>
      <w:r w:rsidR="006742AD" w:rsidRPr="00CA2591">
        <w:rPr>
          <w:b/>
          <w:sz w:val="20"/>
        </w:rPr>
        <w:t>VTCS</w:t>
      </w:r>
      <w:r w:rsidR="006742AD" w:rsidRPr="00CA2591">
        <w:rPr>
          <w:sz w:val="20"/>
        </w:rPr>
        <w:t xml:space="preserve"> as well as VTMS (analogous substance)</w:t>
      </w:r>
    </w:p>
    <w:p w:rsidR="00DC2DEA" w:rsidRPr="00D93C78" w:rsidRDefault="00DC2DEA" w:rsidP="00D93C78">
      <w:pPr>
        <w:pStyle w:val="Text"/>
        <w:spacing w:before="0" w:line="240" w:lineRule="auto"/>
        <w:jc w:val="both"/>
        <w:rPr>
          <w:szCs w:val="24"/>
        </w:rPr>
      </w:pPr>
    </w:p>
    <w:p w:rsidR="00653AEA" w:rsidRPr="00D93C78" w:rsidRDefault="00787432" w:rsidP="00CA2591">
      <w:pPr>
        <w:pStyle w:val="Text"/>
        <w:spacing w:before="0" w:line="240" w:lineRule="auto"/>
        <w:ind w:right="248"/>
        <w:jc w:val="both"/>
        <w:rPr>
          <w:szCs w:val="24"/>
        </w:rPr>
      </w:pPr>
      <w:r w:rsidRPr="00D93C78">
        <w:rPr>
          <w:szCs w:val="24"/>
        </w:rPr>
        <w:t xml:space="preserve">Table 3 lists the chemical structures for the category members, hydrolysis products and analogues, and </w:t>
      </w:r>
      <w:r w:rsidR="00DC2DEA" w:rsidRPr="00D93C78">
        <w:rPr>
          <w:szCs w:val="24"/>
        </w:rPr>
        <w:t xml:space="preserve">Table </w:t>
      </w:r>
      <w:r w:rsidRPr="00D93C78">
        <w:rPr>
          <w:szCs w:val="24"/>
        </w:rPr>
        <w:t>4</w:t>
      </w:r>
      <w:r w:rsidR="00DC2DEA" w:rsidRPr="00D93C78">
        <w:rPr>
          <w:szCs w:val="24"/>
        </w:rPr>
        <w:t xml:space="preserve"> provides the read across strategy for the vinyl chlorosilanes.</w:t>
      </w:r>
      <w:r w:rsidR="00A56927" w:rsidRPr="00D93C78">
        <w:rPr>
          <w:szCs w:val="24"/>
        </w:rPr>
        <w:t xml:space="preserve">  </w:t>
      </w:r>
      <w:r w:rsidR="00653AEA" w:rsidRPr="00D93C78">
        <w:rPr>
          <w:szCs w:val="24"/>
        </w:rPr>
        <w:t xml:space="preserve">HCl, VTMS, DMDCS, and MTCS have been previously presented and agreed in the OECD program; DMSD has been previously used as an analogue, most recently for chloroalkylchlorosilanes at CoCAM 3.  These data can be found at </w:t>
      </w:r>
      <w:hyperlink r:id="rId25" w:history="1">
        <w:r w:rsidR="00653AEA" w:rsidRPr="00D93C78">
          <w:rPr>
            <w:rStyle w:val="Hyperlink"/>
            <w:sz w:val="24"/>
            <w:szCs w:val="24"/>
          </w:rPr>
          <w:t>http://www.oecd.org/env/hazard/data</w:t>
        </w:r>
      </w:hyperlink>
      <w:r w:rsidR="00653AEA" w:rsidRPr="00D93C78">
        <w:rPr>
          <w:szCs w:val="24"/>
        </w:rPr>
        <w:t>.</w:t>
      </w:r>
    </w:p>
    <w:p w:rsidR="00653AEA" w:rsidRPr="00D93C78" w:rsidRDefault="00653AEA" w:rsidP="00D93C78">
      <w:pPr>
        <w:jc w:val="both"/>
      </w:pPr>
      <w:r w:rsidRPr="00D93C78">
        <w:br w:type="page"/>
      </w:r>
    </w:p>
    <w:p w:rsidR="00787432" w:rsidRPr="00D93C78" w:rsidRDefault="00740E9A" w:rsidP="00D93C78">
      <w:pPr>
        <w:jc w:val="both"/>
        <w:rPr>
          <w:b/>
        </w:rPr>
      </w:pPr>
      <w:r>
        <w:rPr>
          <w:b/>
        </w:rPr>
        <w:t xml:space="preserve"> </w:t>
      </w:r>
      <w:r w:rsidR="00787432" w:rsidRPr="00D93C78">
        <w:rPr>
          <w:b/>
        </w:rPr>
        <w:t xml:space="preserve">Table 3:  </w:t>
      </w:r>
      <w:r w:rsidR="00CA2591">
        <w:rPr>
          <w:b/>
        </w:rPr>
        <w:t xml:space="preserve">   </w:t>
      </w:r>
      <w:r w:rsidR="00787432" w:rsidRPr="00D93C78">
        <w:rPr>
          <w:b/>
        </w:rPr>
        <w:t>Chemical Structures for Category Members, Hydrolysis Products and Analogues</w:t>
      </w:r>
    </w:p>
    <w:tbl>
      <w:tblPr>
        <w:tblStyle w:val="TableGrid"/>
        <w:tblW w:w="4850" w:type="pct"/>
        <w:tblInd w:w="17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2237"/>
        <w:gridCol w:w="1210"/>
        <w:gridCol w:w="86"/>
        <w:gridCol w:w="1210"/>
        <w:gridCol w:w="2836"/>
        <w:gridCol w:w="1980"/>
      </w:tblGrid>
      <w:tr w:rsidR="003F66CD" w:rsidRPr="00CA2591" w:rsidTr="00CA2591">
        <w:tc>
          <w:tcPr>
            <w:tcW w:w="2340" w:type="dxa"/>
            <w:tcBorders>
              <w:top w:val="single" w:sz="12" w:space="0" w:color="000000"/>
              <w:bottom w:val="single" w:sz="12" w:space="0" w:color="000000"/>
            </w:tcBorders>
          </w:tcPr>
          <w:p w:rsidR="003F66CD" w:rsidRPr="00CA2591" w:rsidRDefault="000A1E84" w:rsidP="00CA2591">
            <w:pPr>
              <w:pStyle w:val="Text"/>
              <w:spacing w:before="0" w:line="240" w:lineRule="auto"/>
              <w:jc w:val="center"/>
              <w:rPr>
                <w:b/>
                <w:sz w:val="20"/>
              </w:rPr>
            </w:pPr>
            <w:r w:rsidRPr="00CA2591">
              <w:rPr>
                <w:b/>
                <w:sz w:val="20"/>
              </w:rPr>
              <w:t>Chemical Name</w:t>
            </w:r>
          </w:p>
        </w:tc>
        <w:tc>
          <w:tcPr>
            <w:tcW w:w="1260" w:type="dxa"/>
            <w:tcBorders>
              <w:top w:val="single" w:sz="12" w:space="0" w:color="000000"/>
              <w:bottom w:val="single" w:sz="12" w:space="0" w:color="000000"/>
            </w:tcBorders>
          </w:tcPr>
          <w:p w:rsidR="003F66CD" w:rsidRPr="00CA2591" w:rsidRDefault="000A1E84" w:rsidP="00CA2591">
            <w:pPr>
              <w:pStyle w:val="Text"/>
              <w:spacing w:before="0" w:line="240" w:lineRule="auto"/>
              <w:jc w:val="center"/>
              <w:rPr>
                <w:b/>
                <w:sz w:val="20"/>
              </w:rPr>
            </w:pPr>
            <w:r w:rsidRPr="00CA2591">
              <w:rPr>
                <w:b/>
                <w:sz w:val="20"/>
              </w:rPr>
              <w:t xml:space="preserve">CAS </w:t>
            </w:r>
            <w:r w:rsidR="00CC3368" w:rsidRPr="00CA2591">
              <w:rPr>
                <w:b/>
                <w:sz w:val="20"/>
              </w:rPr>
              <w:t xml:space="preserve"> No.</w:t>
            </w:r>
          </w:p>
        </w:tc>
        <w:tc>
          <w:tcPr>
            <w:tcW w:w="1350" w:type="dxa"/>
            <w:gridSpan w:val="2"/>
            <w:tcBorders>
              <w:top w:val="single" w:sz="12" w:space="0" w:color="000000"/>
              <w:bottom w:val="single" w:sz="12" w:space="0" w:color="000000"/>
            </w:tcBorders>
          </w:tcPr>
          <w:p w:rsidR="003F66CD" w:rsidRPr="00CA2591" w:rsidRDefault="000A1E84" w:rsidP="00CA2591">
            <w:pPr>
              <w:pStyle w:val="Text"/>
              <w:spacing w:before="0" w:line="240" w:lineRule="auto"/>
              <w:jc w:val="center"/>
              <w:rPr>
                <w:b/>
                <w:sz w:val="20"/>
              </w:rPr>
            </w:pPr>
            <w:r w:rsidRPr="00CA2591">
              <w:rPr>
                <w:b/>
                <w:sz w:val="20"/>
              </w:rPr>
              <w:t>Acronym</w:t>
            </w:r>
          </w:p>
        </w:tc>
        <w:tc>
          <w:tcPr>
            <w:tcW w:w="2970" w:type="dxa"/>
            <w:tcBorders>
              <w:top w:val="single" w:sz="12" w:space="0" w:color="000000"/>
              <w:bottom w:val="single" w:sz="12" w:space="0" w:color="000000"/>
            </w:tcBorders>
          </w:tcPr>
          <w:p w:rsidR="003F66CD" w:rsidRPr="00CA2591" w:rsidRDefault="000A1E84" w:rsidP="00CA2591">
            <w:pPr>
              <w:pStyle w:val="Text"/>
              <w:spacing w:before="0" w:line="240" w:lineRule="auto"/>
              <w:jc w:val="center"/>
              <w:rPr>
                <w:b/>
                <w:sz w:val="20"/>
              </w:rPr>
            </w:pPr>
            <w:r w:rsidRPr="00CA2591">
              <w:rPr>
                <w:b/>
                <w:sz w:val="20"/>
              </w:rPr>
              <w:t>Structure</w:t>
            </w:r>
          </w:p>
        </w:tc>
        <w:tc>
          <w:tcPr>
            <w:tcW w:w="2070" w:type="dxa"/>
            <w:tcBorders>
              <w:top w:val="single" w:sz="12" w:space="0" w:color="000000"/>
              <w:bottom w:val="single" w:sz="12" w:space="0" w:color="000000"/>
            </w:tcBorders>
          </w:tcPr>
          <w:p w:rsidR="003F66CD" w:rsidRPr="00CA2591" w:rsidRDefault="000A1E84" w:rsidP="00CA2591">
            <w:pPr>
              <w:pStyle w:val="Text"/>
              <w:spacing w:before="0" w:line="240" w:lineRule="auto"/>
              <w:jc w:val="center"/>
              <w:rPr>
                <w:b/>
                <w:sz w:val="20"/>
              </w:rPr>
            </w:pPr>
            <w:r w:rsidRPr="00CA2591">
              <w:rPr>
                <w:b/>
                <w:sz w:val="20"/>
              </w:rPr>
              <w:t>Read across</w:t>
            </w:r>
          </w:p>
        </w:tc>
      </w:tr>
      <w:tr w:rsidR="000A532B" w:rsidRPr="00CA2591" w:rsidTr="00CA2591">
        <w:tc>
          <w:tcPr>
            <w:tcW w:w="9990" w:type="dxa"/>
            <w:gridSpan w:val="6"/>
            <w:tcBorders>
              <w:top w:val="single" w:sz="12" w:space="0" w:color="000000"/>
            </w:tcBorders>
          </w:tcPr>
          <w:p w:rsidR="000A532B" w:rsidRPr="00CA2591" w:rsidRDefault="000A532B" w:rsidP="00CA2591">
            <w:pPr>
              <w:pStyle w:val="Text"/>
              <w:spacing w:before="0" w:line="240" w:lineRule="auto"/>
              <w:jc w:val="center"/>
              <w:rPr>
                <w:sz w:val="20"/>
              </w:rPr>
            </w:pPr>
            <w:r w:rsidRPr="00CA2591">
              <w:rPr>
                <w:b/>
                <w:sz w:val="20"/>
              </w:rPr>
              <w:t>Sponsored Substances</w:t>
            </w:r>
          </w:p>
        </w:tc>
      </w:tr>
      <w:tr w:rsidR="003F66CD" w:rsidRPr="00CA2591" w:rsidTr="00CA2591">
        <w:tc>
          <w:tcPr>
            <w:tcW w:w="2340" w:type="dxa"/>
          </w:tcPr>
          <w:p w:rsidR="003F66CD" w:rsidRPr="00CA2591" w:rsidRDefault="000A1E84" w:rsidP="00CA2591">
            <w:pPr>
              <w:pStyle w:val="Text"/>
              <w:spacing w:before="0" w:line="240" w:lineRule="auto"/>
              <w:jc w:val="center"/>
              <w:rPr>
                <w:b/>
                <w:sz w:val="20"/>
              </w:rPr>
            </w:pPr>
            <w:r w:rsidRPr="00CA2591">
              <w:rPr>
                <w:b/>
                <w:sz w:val="20"/>
              </w:rPr>
              <w:t>Dichloromethyl(vinyl)silane</w:t>
            </w:r>
          </w:p>
        </w:tc>
        <w:tc>
          <w:tcPr>
            <w:tcW w:w="1260" w:type="dxa"/>
          </w:tcPr>
          <w:p w:rsidR="003F66CD" w:rsidRPr="00CA2591" w:rsidRDefault="000A1E84" w:rsidP="00CA2591">
            <w:pPr>
              <w:pStyle w:val="Text"/>
              <w:autoSpaceDE w:val="0"/>
              <w:autoSpaceDN w:val="0"/>
              <w:spacing w:before="0" w:line="240" w:lineRule="auto"/>
              <w:ind w:left="57"/>
              <w:jc w:val="center"/>
              <w:rPr>
                <w:sz w:val="20"/>
              </w:rPr>
            </w:pPr>
            <w:r w:rsidRPr="00CA2591">
              <w:rPr>
                <w:sz w:val="20"/>
              </w:rPr>
              <w:t>124-70-9</w:t>
            </w:r>
          </w:p>
        </w:tc>
        <w:tc>
          <w:tcPr>
            <w:tcW w:w="1350" w:type="dxa"/>
            <w:gridSpan w:val="2"/>
          </w:tcPr>
          <w:p w:rsidR="003F66CD" w:rsidRPr="00CA2591" w:rsidRDefault="000A1E84" w:rsidP="00CA2591">
            <w:pPr>
              <w:pStyle w:val="Text"/>
              <w:autoSpaceDE w:val="0"/>
              <w:autoSpaceDN w:val="0"/>
              <w:spacing w:before="0" w:line="240" w:lineRule="auto"/>
              <w:ind w:left="57"/>
              <w:jc w:val="center"/>
              <w:rPr>
                <w:b/>
                <w:sz w:val="20"/>
              </w:rPr>
            </w:pPr>
            <w:r w:rsidRPr="00CA2591">
              <w:rPr>
                <w:b/>
                <w:sz w:val="20"/>
              </w:rPr>
              <w:t>VDCS</w:t>
            </w:r>
          </w:p>
        </w:tc>
        <w:tc>
          <w:tcPr>
            <w:tcW w:w="2970" w:type="dxa"/>
          </w:tcPr>
          <w:p w:rsidR="003F66CD" w:rsidRPr="00CA2591" w:rsidRDefault="00E303F9" w:rsidP="00CA2591">
            <w:pPr>
              <w:pStyle w:val="Text"/>
              <w:autoSpaceDE w:val="0"/>
              <w:autoSpaceDN w:val="0"/>
              <w:spacing w:before="0" w:line="240" w:lineRule="auto"/>
              <w:ind w:left="57"/>
              <w:jc w:val="center"/>
              <w:rPr>
                <w:sz w:val="20"/>
              </w:rPr>
            </w:pPr>
            <w:r w:rsidRPr="00CA2591">
              <w:rPr>
                <w:noProof/>
                <w:sz w:val="20"/>
                <w:lang w:val="en-GB" w:eastAsia="en-GB"/>
              </w:rPr>
              <w:drawing>
                <wp:inline distT="0" distB="0" distL="0" distR="0" wp14:anchorId="1A50661C" wp14:editId="1969FD8A">
                  <wp:extent cx="1238250" cy="960120"/>
                  <wp:effectExtent l="19050" t="0" r="0" b="0"/>
                  <wp:docPr id="19" name="Picture 2" descr="http://chem.sis.nlm.nih.gov/chemidplus/RenderImage?maxscale=30&amp;width=200&amp;height=200&amp;superlistid=0000124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hem.sis.nlm.nih.gov/chemidplus/RenderImage?maxscale=30&amp;width=200&amp;height=200&amp;superlistid=000012470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36956" cy="959116"/>
                          </a:xfrm>
                          <a:prstGeom prst="rect">
                            <a:avLst/>
                          </a:prstGeom>
                          <a:noFill/>
                          <a:ln>
                            <a:noFill/>
                          </a:ln>
                        </pic:spPr>
                      </pic:pic>
                    </a:graphicData>
                  </a:graphic>
                </wp:inline>
              </w:drawing>
            </w:r>
          </w:p>
        </w:tc>
        <w:tc>
          <w:tcPr>
            <w:tcW w:w="2070" w:type="dxa"/>
          </w:tcPr>
          <w:p w:rsidR="003F66CD" w:rsidRPr="00CA2591" w:rsidRDefault="000A532B" w:rsidP="00CA2591">
            <w:pPr>
              <w:pStyle w:val="Text"/>
              <w:spacing w:before="0" w:line="240" w:lineRule="auto"/>
              <w:jc w:val="center"/>
              <w:rPr>
                <w:sz w:val="20"/>
              </w:rPr>
            </w:pPr>
            <w:r w:rsidRPr="00CA2591">
              <w:rPr>
                <w:sz w:val="20"/>
              </w:rPr>
              <w:t>--</w:t>
            </w:r>
          </w:p>
        </w:tc>
      </w:tr>
      <w:tr w:rsidR="003F66CD" w:rsidRPr="00CA2591" w:rsidTr="00CA2591">
        <w:tc>
          <w:tcPr>
            <w:tcW w:w="2340" w:type="dxa"/>
          </w:tcPr>
          <w:p w:rsidR="003F66CD" w:rsidRPr="00CA2591" w:rsidRDefault="000A1E84" w:rsidP="00CA2591">
            <w:pPr>
              <w:pStyle w:val="Text"/>
              <w:spacing w:before="0" w:line="240" w:lineRule="auto"/>
              <w:jc w:val="center"/>
              <w:rPr>
                <w:b/>
                <w:sz w:val="20"/>
              </w:rPr>
            </w:pPr>
            <w:r w:rsidRPr="00CA2591">
              <w:rPr>
                <w:b/>
                <w:sz w:val="20"/>
              </w:rPr>
              <w:t>Trichlorovinylsilane</w:t>
            </w:r>
          </w:p>
        </w:tc>
        <w:tc>
          <w:tcPr>
            <w:tcW w:w="1260" w:type="dxa"/>
          </w:tcPr>
          <w:p w:rsidR="003F66CD" w:rsidRPr="00CA2591" w:rsidRDefault="000A1E84" w:rsidP="00CA2591">
            <w:pPr>
              <w:pStyle w:val="Text"/>
              <w:autoSpaceDE w:val="0"/>
              <w:autoSpaceDN w:val="0"/>
              <w:spacing w:before="0" w:line="240" w:lineRule="auto"/>
              <w:ind w:left="57"/>
              <w:jc w:val="center"/>
              <w:rPr>
                <w:sz w:val="20"/>
              </w:rPr>
            </w:pPr>
            <w:r w:rsidRPr="00CA2591">
              <w:rPr>
                <w:sz w:val="20"/>
              </w:rPr>
              <w:t>75-94-5</w:t>
            </w:r>
          </w:p>
        </w:tc>
        <w:tc>
          <w:tcPr>
            <w:tcW w:w="1350" w:type="dxa"/>
            <w:gridSpan w:val="2"/>
          </w:tcPr>
          <w:p w:rsidR="003F66CD" w:rsidRPr="00CA2591" w:rsidRDefault="000A1E84" w:rsidP="00CA2591">
            <w:pPr>
              <w:pStyle w:val="Text"/>
              <w:autoSpaceDE w:val="0"/>
              <w:autoSpaceDN w:val="0"/>
              <w:spacing w:before="0" w:line="240" w:lineRule="auto"/>
              <w:ind w:left="57"/>
              <w:jc w:val="center"/>
              <w:rPr>
                <w:b/>
                <w:sz w:val="20"/>
              </w:rPr>
            </w:pPr>
            <w:r w:rsidRPr="00CA2591">
              <w:rPr>
                <w:b/>
                <w:sz w:val="20"/>
              </w:rPr>
              <w:t>VTCS</w:t>
            </w:r>
          </w:p>
        </w:tc>
        <w:tc>
          <w:tcPr>
            <w:tcW w:w="2970" w:type="dxa"/>
          </w:tcPr>
          <w:p w:rsidR="003F66CD" w:rsidRPr="00CA2591" w:rsidRDefault="00E303F9" w:rsidP="00CA2591">
            <w:pPr>
              <w:pStyle w:val="Text"/>
              <w:autoSpaceDE w:val="0"/>
              <w:autoSpaceDN w:val="0"/>
              <w:spacing w:before="0" w:line="240" w:lineRule="auto"/>
              <w:ind w:left="57"/>
              <w:jc w:val="center"/>
              <w:rPr>
                <w:sz w:val="20"/>
              </w:rPr>
            </w:pPr>
            <w:r w:rsidRPr="00CA2591">
              <w:rPr>
                <w:noProof/>
                <w:sz w:val="20"/>
                <w:lang w:val="en-GB" w:eastAsia="en-GB"/>
              </w:rPr>
              <w:drawing>
                <wp:inline distT="0" distB="0" distL="0" distR="0" wp14:anchorId="123067E9" wp14:editId="660F01C6">
                  <wp:extent cx="1238250" cy="975360"/>
                  <wp:effectExtent l="19050" t="0" r="0" b="0"/>
                  <wp:docPr id="20" name="Picture 7" descr="http://chem.sis.nlm.nih.gov/chemidplus/RenderImage?maxscale=30&amp;width=200&amp;height=200&amp;superlistid=0000075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chem.sis.nlm.nih.gov/chemidplus/RenderImage?maxscale=30&amp;width=200&amp;height=200&amp;superlistid=000007594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5778" cy="973413"/>
                          </a:xfrm>
                          <a:prstGeom prst="rect">
                            <a:avLst/>
                          </a:prstGeom>
                          <a:noFill/>
                          <a:ln>
                            <a:noFill/>
                          </a:ln>
                        </pic:spPr>
                      </pic:pic>
                    </a:graphicData>
                  </a:graphic>
                </wp:inline>
              </w:drawing>
            </w:r>
          </w:p>
        </w:tc>
        <w:tc>
          <w:tcPr>
            <w:tcW w:w="2070" w:type="dxa"/>
          </w:tcPr>
          <w:p w:rsidR="003F66CD" w:rsidRPr="00CA2591" w:rsidRDefault="000A532B" w:rsidP="00CA2591">
            <w:pPr>
              <w:pStyle w:val="Text"/>
              <w:spacing w:before="0" w:line="240" w:lineRule="auto"/>
              <w:jc w:val="center"/>
              <w:rPr>
                <w:sz w:val="20"/>
              </w:rPr>
            </w:pPr>
            <w:r w:rsidRPr="00CA2591">
              <w:rPr>
                <w:sz w:val="20"/>
              </w:rPr>
              <w:t>--</w:t>
            </w:r>
          </w:p>
        </w:tc>
      </w:tr>
      <w:tr w:rsidR="000A532B" w:rsidRPr="00CA2591" w:rsidTr="00CA2591">
        <w:tc>
          <w:tcPr>
            <w:tcW w:w="9990" w:type="dxa"/>
            <w:gridSpan w:val="6"/>
          </w:tcPr>
          <w:p w:rsidR="000A532B" w:rsidRPr="00CA2591" w:rsidRDefault="000A532B" w:rsidP="00CA2591">
            <w:pPr>
              <w:pStyle w:val="Text"/>
              <w:spacing w:before="0" w:line="240" w:lineRule="auto"/>
              <w:jc w:val="center"/>
              <w:rPr>
                <w:sz w:val="20"/>
              </w:rPr>
            </w:pPr>
            <w:r w:rsidRPr="00CA2591">
              <w:rPr>
                <w:b/>
                <w:sz w:val="20"/>
              </w:rPr>
              <w:t>Hydrolysis Products</w:t>
            </w:r>
          </w:p>
        </w:tc>
      </w:tr>
      <w:tr w:rsidR="003F66CD" w:rsidRPr="00CA2591" w:rsidTr="00CA2591">
        <w:tc>
          <w:tcPr>
            <w:tcW w:w="2340" w:type="dxa"/>
          </w:tcPr>
          <w:p w:rsidR="003F66CD" w:rsidRPr="00CA2591" w:rsidRDefault="000A1E84" w:rsidP="00CA2591">
            <w:pPr>
              <w:pStyle w:val="Text"/>
              <w:spacing w:before="0" w:line="240" w:lineRule="auto"/>
              <w:jc w:val="center"/>
              <w:rPr>
                <w:b/>
                <w:sz w:val="20"/>
              </w:rPr>
            </w:pPr>
            <w:r w:rsidRPr="00CA2591">
              <w:rPr>
                <w:b/>
                <w:sz w:val="20"/>
              </w:rPr>
              <w:t>Hydrogen Chloride</w:t>
            </w:r>
          </w:p>
        </w:tc>
        <w:tc>
          <w:tcPr>
            <w:tcW w:w="1350" w:type="dxa"/>
            <w:gridSpan w:val="2"/>
          </w:tcPr>
          <w:p w:rsidR="003F66CD" w:rsidRPr="00CA2591" w:rsidRDefault="003F66CD" w:rsidP="00CA2591">
            <w:pPr>
              <w:pStyle w:val="Text"/>
              <w:spacing w:before="0" w:line="240" w:lineRule="auto"/>
              <w:jc w:val="center"/>
              <w:rPr>
                <w:sz w:val="20"/>
              </w:rPr>
            </w:pPr>
          </w:p>
        </w:tc>
        <w:tc>
          <w:tcPr>
            <w:tcW w:w="1260" w:type="dxa"/>
          </w:tcPr>
          <w:p w:rsidR="003F66CD" w:rsidRPr="00CA2591" w:rsidRDefault="000A1E84" w:rsidP="00CA2591">
            <w:pPr>
              <w:pStyle w:val="Text"/>
              <w:autoSpaceDE w:val="0"/>
              <w:autoSpaceDN w:val="0"/>
              <w:spacing w:before="0" w:line="240" w:lineRule="auto"/>
              <w:ind w:left="57"/>
              <w:jc w:val="center"/>
              <w:rPr>
                <w:sz w:val="20"/>
              </w:rPr>
            </w:pPr>
            <w:r w:rsidRPr="00CA2591">
              <w:rPr>
                <w:sz w:val="20"/>
              </w:rPr>
              <w:t>HCl</w:t>
            </w:r>
          </w:p>
        </w:tc>
        <w:tc>
          <w:tcPr>
            <w:tcW w:w="2970" w:type="dxa"/>
          </w:tcPr>
          <w:p w:rsidR="003F66CD" w:rsidRPr="00CA2591" w:rsidRDefault="003F66CD" w:rsidP="00CA2591">
            <w:pPr>
              <w:pStyle w:val="Text"/>
              <w:spacing w:before="0" w:line="240" w:lineRule="auto"/>
              <w:jc w:val="center"/>
              <w:rPr>
                <w:sz w:val="20"/>
              </w:rPr>
            </w:pPr>
          </w:p>
        </w:tc>
        <w:tc>
          <w:tcPr>
            <w:tcW w:w="2070" w:type="dxa"/>
          </w:tcPr>
          <w:p w:rsidR="003F66CD" w:rsidRPr="00CA2591" w:rsidRDefault="00056707" w:rsidP="00CA2591">
            <w:pPr>
              <w:pStyle w:val="Text"/>
              <w:autoSpaceDE w:val="0"/>
              <w:autoSpaceDN w:val="0"/>
              <w:spacing w:before="0" w:line="240" w:lineRule="auto"/>
              <w:ind w:left="57"/>
              <w:jc w:val="center"/>
              <w:rPr>
                <w:sz w:val="20"/>
              </w:rPr>
            </w:pPr>
            <w:r w:rsidRPr="00CA2591">
              <w:rPr>
                <w:sz w:val="20"/>
              </w:rPr>
              <w:t>H</w:t>
            </w:r>
            <w:r w:rsidR="00FB6D23" w:rsidRPr="00CA2591">
              <w:rPr>
                <w:sz w:val="20"/>
              </w:rPr>
              <w:t>uman</w:t>
            </w:r>
            <w:r w:rsidR="00653AEA" w:rsidRPr="00CA2591">
              <w:rPr>
                <w:sz w:val="20"/>
              </w:rPr>
              <w:t xml:space="preserve"> </w:t>
            </w:r>
            <w:r w:rsidRPr="00CA2591">
              <w:rPr>
                <w:sz w:val="20"/>
              </w:rPr>
              <w:t>H</w:t>
            </w:r>
            <w:r w:rsidR="00FB6D23" w:rsidRPr="00CA2591">
              <w:rPr>
                <w:sz w:val="20"/>
              </w:rPr>
              <w:t>ealth</w:t>
            </w:r>
            <w:r w:rsidRPr="00CA2591">
              <w:rPr>
                <w:sz w:val="20"/>
              </w:rPr>
              <w:t>; Aquatic Tox</w:t>
            </w:r>
            <w:r w:rsidR="00FB6D23" w:rsidRPr="00CA2591">
              <w:rPr>
                <w:sz w:val="20"/>
              </w:rPr>
              <w:t>icity</w:t>
            </w:r>
          </w:p>
        </w:tc>
      </w:tr>
      <w:tr w:rsidR="003F66CD" w:rsidRPr="00CA2591" w:rsidTr="00CA2591">
        <w:tc>
          <w:tcPr>
            <w:tcW w:w="2340" w:type="dxa"/>
          </w:tcPr>
          <w:p w:rsidR="003F66CD" w:rsidRPr="00CA2591" w:rsidRDefault="000A1E84" w:rsidP="00CA2591">
            <w:pPr>
              <w:pStyle w:val="Text"/>
              <w:spacing w:before="0" w:line="240" w:lineRule="auto"/>
              <w:jc w:val="center"/>
              <w:rPr>
                <w:b/>
                <w:sz w:val="20"/>
              </w:rPr>
            </w:pPr>
            <w:r w:rsidRPr="00CA2591">
              <w:rPr>
                <w:b/>
                <w:sz w:val="20"/>
              </w:rPr>
              <w:t>Vinylmethylsilanediol</w:t>
            </w:r>
          </w:p>
        </w:tc>
        <w:tc>
          <w:tcPr>
            <w:tcW w:w="1350" w:type="dxa"/>
            <w:gridSpan w:val="2"/>
          </w:tcPr>
          <w:p w:rsidR="003F66CD" w:rsidRPr="00CA2591" w:rsidRDefault="000A1E84" w:rsidP="00CA2591">
            <w:pPr>
              <w:pStyle w:val="Text"/>
              <w:autoSpaceDE w:val="0"/>
              <w:autoSpaceDN w:val="0"/>
              <w:spacing w:before="0" w:line="240" w:lineRule="auto"/>
              <w:ind w:left="57"/>
              <w:jc w:val="center"/>
              <w:rPr>
                <w:sz w:val="20"/>
              </w:rPr>
            </w:pPr>
            <w:r w:rsidRPr="00CA2591">
              <w:rPr>
                <w:sz w:val="20"/>
              </w:rPr>
              <w:t>3959-12-4</w:t>
            </w:r>
          </w:p>
        </w:tc>
        <w:tc>
          <w:tcPr>
            <w:tcW w:w="1260" w:type="dxa"/>
          </w:tcPr>
          <w:p w:rsidR="00653AEA" w:rsidRPr="00CA2591" w:rsidRDefault="00653AEA" w:rsidP="00CA2591">
            <w:pPr>
              <w:pStyle w:val="Text"/>
              <w:autoSpaceDE w:val="0"/>
              <w:autoSpaceDN w:val="0"/>
              <w:spacing w:before="0" w:line="240" w:lineRule="auto"/>
              <w:ind w:left="57"/>
              <w:jc w:val="center"/>
              <w:rPr>
                <w:sz w:val="20"/>
              </w:rPr>
            </w:pPr>
            <w:r w:rsidRPr="00CA2591">
              <w:rPr>
                <w:sz w:val="20"/>
              </w:rPr>
              <w:t>--</w:t>
            </w:r>
          </w:p>
          <w:p w:rsidR="003F66CD" w:rsidRPr="00CA2591" w:rsidRDefault="003F66CD" w:rsidP="00CA2591">
            <w:pPr>
              <w:pStyle w:val="Text"/>
              <w:autoSpaceDE w:val="0"/>
              <w:autoSpaceDN w:val="0"/>
              <w:spacing w:before="0" w:line="240" w:lineRule="auto"/>
              <w:ind w:left="57"/>
              <w:jc w:val="center"/>
              <w:rPr>
                <w:sz w:val="20"/>
              </w:rPr>
            </w:pPr>
          </w:p>
          <w:p w:rsidR="003F66CD" w:rsidRPr="00CA2591" w:rsidRDefault="003F66CD" w:rsidP="00CA2591">
            <w:pPr>
              <w:pStyle w:val="Text"/>
              <w:spacing w:before="0" w:line="240" w:lineRule="auto"/>
              <w:jc w:val="center"/>
              <w:rPr>
                <w:sz w:val="20"/>
              </w:rPr>
            </w:pPr>
          </w:p>
        </w:tc>
        <w:tc>
          <w:tcPr>
            <w:tcW w:w="2970" w:type="dxa"/>
          </w:tcPr>
          <w:p w:rsidR="003F66CD" w:rsidRPr="00CA2591" w:rsidRDefault="0048113C" w:rsidP="00CA2591">
            <w:pPr>
              <w:pStyle w:val="Text"/>
              <w:spacing w:before="0" w:line="240" w:lineRule="auto"/>
              <w:jc w:val="center"/>
              <w:rPr>
                <w:sz w:val="20"/>
              </w:rPr>
            </w:pPr>
            <w:r w:rsidRPr="00CA2591">
              <w:rPr>
                <w:noProof/>
                <w:color w:val="000000"/>
                <w:sz w:val="20"/>
                <w:lang w:val="en-GB" w:eastAsia="en-GB"/>
              </w:rPr>
              <w:drawing>
                <wp:anchor distT="0" distB="0" distL="114300" distR="114300" simplePos="0" relativeHeight="251702272" behindDoc="0" locked="0" layoutInCell="1" allowOverlap="1" wp14:anchorId="68C4089B" wp14:editId="438B0FEE">
                  <wp:simplePos x="0" y="0"/>
                  <wp:positionH relativeFrom="column">
                    <wp:posOffset>392430</wp:posOffset>
                  </wp:positionH>
                  <wp:positionV relativeFrom="paragraph">
                    <wp:posOffset>74295</wp:posOffset>
                  </wp:positionV>
                  <wp:extent cx="579120" cy="426720"/>
                  <wp:effectExtent l="0" t="0" r="0" b="0"/>
                  <wp:wrapNone/>
                  <wp:docPr id="66" name="Picture 66"/>
                  <wp:cNvGraphicFramePr/>
                  <a:graphic xmlns:a="http://schemas.openxmlformats.org/drawingml/2006/main">
                    <a:graphicData uri="http://schemas.openxmlformats.org/drawingml/2006/picture">
                      <pic:pic xmlns:pic="http://schemas.openxmlformats.org/drawingml/2006/picture">
                        <pic:nvPicPr>
                          <pic:cNvPr id="66" name="Picture 6"/>
                          <pic:cNvPicPr>
                            <a:picLocks noChangeAspect="1" noChangeArrowheads="1"/>
                          </pic:cNvPicPr>
                        </pic:nvPicPr>
                        <pic:blipFill>
                          <a:blip r:embed="rId26" cstate="print"/>
                          <a:srcRect/>
                          <a:stretch>
                            <a:fillRect/>
                          </a:stretch>
                        </pic:blipFill>
                        <pic:spPr bwMode="auto">
                          <a:xfrm>
                            <a:off x="0" y="0"/>
                            <a:ext cx="579120" cy="426720"/>
                          </a:xfrm>
                          <a:prstGeom prst="rect">
                            <a:avLst/>
                          </a:prstGeom>
                          <a:noFill/>
                        </pic:spPr>
                      </pic:pic>
                    </a:graphicData>
                  </a:graphic>
                </wp:anchor>
              </w:drawing>
            </w:r>
          </w:p>
          <w:p w:rsidR="007F5524" w:rsidRPr="00CA2591" w:rsidRDefault="007F5524" w:rsidP="00CA2591">
            <w:pPr>
              <w:pStyle w:val="Text"/>
              <w:spacing w:before="0" w:line="240" w:lineRule="auto"/>
              <w:jc w:val="center"/>
              <w:rPr>
                <w:sz w:val="20"/>
              </w:rPr>
            </w:pPr>
          </w:p>
          <w:p w:rsidR="007F5524" w:rsidRPr="00CA2591" w:rsidRDefault="007F5524" w:rsidP="00CA2591">
            <w:pPr>
              <w:pStyle w:val="Text"/>
              <w:spacing w:before="0" w:line="240" w:lineRule="auto"/>
              <w:jc w:val="center"/>
              <w:rPr>
                <w:sz w:val="20"/>
              </w:rPr>
            </w:pPr>
          </w:p>
          <w:p w:rsidR="007F5524" w:rsidRPr="00CA2591" w:rsidRDefault="007F5524" w:rsidP="00CA2591">
            <w:pPr>
              <w:pStyle w:val="Text"/>
              <w:spacing w:before="0" w:line="240" w:lineRule="auto"/>
              <w:jc w:val="center"/>
              <w:rPr>
                <w:sz w:val="20"/>
              </w:rPr>
            </w:pPr>
          </w:p>
        </w:tc>
        <w:tc>
          <w:tcPr>
            <w:tcW w:w="2070" w:type="dxa"/>
          </w:tcPr>
          <w:p w:rsidR="00056707" w:rsidRPr="00CA2591" w:rsidRDefault="00056707" w:rsidP="00CA2591">
            <w:pPr>
              <w:pStyle w:val="Text"/>
              <w:autoSpaceDE w:val="0"/>
              <w:autoSpaceDN w:val="0"/>
              <w:spacing w:before="0" w:line="240" w:lineRule="auto"/>
              <w:ind w:left="57"/>
              <w:jc w:val="center"/>
              <w:rPr>
                <w:sz w:val="20"/>
              </w:rPr>
            </w:pPr>
            <w:r w:rsidRPr="00CA2591">
              <w:rPr>
                <w:sz w:val="20"/>
              </w:rPr>
              <w:t>--</w:t>
            </w:r>
          </w:p>
        </w:tc>
      </w:tr>
      <w:tr w:rsidR="003F66CD" w:rsidRPr="00CA2591" w:rsidTr="00CA2591">
        <w:tc>
          <w:tcPr>
            <w:tcW w:w="2340" w:type="dxa"/>
          </w:tcPr>
          <w:p w:rsidR="003F66CD" w:rsidRPr="00CA2591" w:rsidRDefault="000A1E84" w:rsidP="00CA2591">
            <w:pPr>
              <w:pStyle w:val="Text"/>
              <w:spacing w:before="0" w:line="240" w:lineRule="auto"/>
              <w:jc w:val="center"/>
              <w:rPr>
                <w:b/>
                <w:sz w:val="20"/>
              </w:rPr>
            </w:pPr>
            <w:r w:rsidRPr="00CA2591">
              <w:rPr>
                <w:b/>
                <w:sz w:val="20"/>
              </w:rPr>
              <w:t>Vinylsilanetriol</w:t>
            </w:r>
          </w:p>
          <w:p w:rsidR="0048113C" w:rsidRPr="00CA2591" w:rsidRDefault="0048113C" w:rsidP="00CA2591">
            <w:pPr>
              <w:pStyle w:val="Text"/>
              <w:spacing w:before="0" w:line="240" w:lineRule="auto"/>
              <w:jc w:val="center"/>
              <w:rPr>
                <w:b/>
                <w:sz w:val="20"/>
              </w:rPr>
            </w:pPr>
          </w:p>
          <w:p w:rsidR="0048113C" w:rsidRPr="00CA2591" w:rsidRDefault="0048113C" w:rsidP="00CA2591">
            <w:pPr>
              <w:pStyle w:val="Text"/>
              <w:spacing w:before="0" w:line="240" w:lineRule="auto"/>
              <w:jc w:val="center"/>
              <w:rPr>
                <w:b/>
                <w:sz w:val="20"/>
              </w:rPr>
            </w:pPr>
          </w:p>
          <w:p w:rsidR="0048113C" w:rsidRPr="00CA2591" w:rsidRDefault="0048113C" w:rsidP="00CA2591">
            <w:pPr>
              <w:pStyle w:val="Text"/>
              <w:spacing w:before="0" w:line="240" w:lineRule="auto"/>
              <w:jc w:val="center"/>
              <w:rPr>
                <w:b/>
                <w:sz w:val="20"/>
              </w:rPr>
            </w:pPr>
          </w:p>
        </w:tc>
        <w:tc>
          <w:tcPr>
            <w:tcW w:w="1350" w:type="dxa"/>
            <w:gridSpan w:val="2"/>
          </w:tcPr>
          <w:p w:rsidR="003F66CD" w:rsidRPr="00CA2591" w:rsidRDefault="000A1E84" w:rsidP="00CA2591">
            <w:pPr>
              <w:pStyle w:val="Text"/>
              <w:autoSpaceDE w:val="0"/>
              <w:autoSpaceDN w:val="0"/>
              <w:spacing w:before="0" w:line="240" w:lineRule="auto"/>
              <w:ind w:left="57"/>
              <w:jc w:val="center"/>
              <w:rPr>
                <w:sz w:val="20"/>
              </w:rPr>
            </w:pPr>
            <w:r w:rsidRPr="00CA2591">
              <w:rPr>
                <w:sz w:val="20"/>
              </w:rPr>
              <w:t>143-48-6</w:t>
            </w:r>
          </w:p>
        </w:tc>
        <w:tc>
          <w:tcPr>
            <w:tcW w:w="1260" w:type="dxa"/>
          </w:tcPr>
          <w:p w:rsidR="00653AEA" w:rsidRPr="00CA2591" w:rsidRDefault="00653AEA" w:rsidP="00CA2591">
            <w:pPr>
              <w:pStyle w:val="Text"/>
              <w:autoSpaceDE w:val="0"/>
              <w:autoSpaceDN w:val="0"/>
              <w:spacing w:before="0" w:line="240" w:lineRule="auto"/>
              <w:ind w:left="57"/>
              <w:jc w:val="center"/>
              <w:rPr>
                <w:sz w:val="20"/>
              </w:rPr>
            </w:pPr>
            <w:r w:rsidRPr="00CA2591">
              <w:rPr>
                <w:sz w:val="20"/>
              </w:rPr>
              <w:t>--</w:t>
            </w:r>
          </w:p>
          <w:p w:rsidR="003F66CD" w:rsidRPr="00CA2591" w:rsidRDefault="003F66CD" w:rsidP="00CA2591">
            <w:pPr>
              <w:pStyle w:val="Text"/>
              <w:autoSpaceDE w:val="0"/>
              <w:autoSpaceDN w:val="0"/>
              <w:spacing w:before="0" w:line="240" w:lineRule="auto"/>
              <w:ind w:left="57"/>
              <w:jc w:val="center"/>
              <w:rPr>
                <w:sz w:val="20"/>
              </w:rPr>
            </w:pPr>
          </w:p>
          <w:p w:rsidR="003F66CD" w:rsidRPr="00CA2591" w:rsidRDefault="003F66CD" w:rsidP="00CA2591">
            <w:pPr>
              <w:pStyle w:val="Text"/>
              <w:spacing w:before="0" w:line="240" w:lineRule="auto"/>
              <w:jc w:val="center"/>
              <w:rPr>
                <w:sz w:val="20"/>
              </w:rPr>
            </w:pPr>
          </w:p>
        </w:tc>
        <w:tc>
          <w:tcPr>
            <w:tcW w:w="2970" w:type="dxa"/>
          </w:tcPr>
          <w:p w:rsidR="003F66CD" w:rsidRPr="00CA2591" w:rsidRDefault="0048113C" w:rsidP="00CA2591">
            <w:pPr>
              <w:pStyle w:val="Text"/>
              <w:spacing w:before="0" w:line="240" w:lineRule="auto"/>
              <w:jc w:val="center"/>
              <w:rPr>
                <w:sz w:val="20"/>
              </w:rPr>
            </w:pPr>
            <w:r w:rsidRPr="00CA2591">
              <w:rPr>
                <w:noProof/>
                <w:color w:val="000000"/>
                <w:sz w:val="20"/>
                <w:lang w:val="en-GB" w:eastAsia="en-GB"/>
              </w:rPr>
              <w:drawing>
                <wp:anchor distT="0" distB="0" distL="114300" distR="114300" simplePos="0" relativeHeight="251704320" behindDoc="0" locked="0" layoutInCell="1" allowOverlap="1" wp14:anchorId="48EEED56" wp14:editId="1113C7D9">
                  <wp:simplePos x="0" y="0"/>
                  <wp:positionH relativeFrom="column">
                    <wp:posOffset>401320</wp:posOffset>
                  </wp:positionH>
                  <wp:positionV relativeFrom="paragraph">
                    <wp:posOffset>46355</wp:posOffset>
                  </wp:positionV>
                  <wp:extent cx="563880" cy="419100"/>
                  <wp:effectExtent l="0" t="0" r="7620" b="0"/>
                  <wp:wrapNone/>
                  <wp:docPr id="67" name="Picture 67"/>
                  <wp:cNvGraphicFramePr/>
                  <a:graphic xmlns:a="http://schemas.openxmlformats.org/drawingml/2006/main">
                    <a:graphicData uri="http://schemas.openxmlformats.org/drawingml/2006/picture">
                      <pic:pic xmlns:pic="http://schemas.openxmlformats.org/drawingml/2006/picture">
                        <pic:nvPicPr>
                          <pic:cNvPr id="67" name="Picture 7"/>
                          <pic:cNvPicPr>
                            <a:picLocks noChangeAspect="1" noChangeArrowheads="1"/>
                          </pic:cNvPicPr>
                        </pic:nvPicPr>
                        <pic:blipFill>
                          <a:blip r:embed="rId27" cstate="print"/>
                          <a:srcRect/>
                          <a:stretch>
                            <a:fillRect/>
                          </a:stretch>
                        </pic:blipFill>
                        <pic:spPr bwMode="auto">
                          <a:xfrm>
                            <a:off x="0" y="0"/>
                            <a:ext cx="563880" cy="419100"/>
                          </a:xfrm>
                          <a:prstGeom prst="rect">
                            <a:avLst/>
                          </a:prstGeom>
                          <a:noFill/>
                        </pic:spPr>
                      </pic:pic>
                    </a:graphicData>
                  </a:graphic>
                </wp:anchor>
              </w:drawing>
            </w:r>
          </w:p>
        </w:tc>
        <w:tc>
          <w:tcPr>
            <w:tcW w:w="2070" w:type="dxa"/>
          </w:tcPr>
          <w:p w:rsidR="003F66CD" w:rsidRPr="00CA2591" w:rsidRDefault="003F66CD" w:rsidP="00CA2591">
            <w:pPr>
              <w:pStyle w:val="Text"/>
              <w:autoSpaceDE w:val="0"/>
              <w:autoSpaceDN w:val="0"/>
              <w:spacing w:before="0" w:line="240" w:lineRule="auto"/>
              <w:ind w:left="57"/>
              <w:jc w:val="center"/>
              <w:rPr>
                <w:sz w:val="20"/>
              </w:rPr>
            </w:pPr>
            <w:r w:rsidRPr="00CA2591">
              <w:rPr>
                <w:sz w:val="20"/>
              </w:rPr>
              <w:t>--</w:t>
            </w:r>
          </w:p>
        </w:tc>
      </w:tr>
      <w:tr w:rsidR="003F66CD" w:rsidRPr="00CA2591" w:rsidTr="00CA2591">
        <w:tc>
          <w:tcPr>
            <w:tcW w:w="7920" w:type="dxa"/>
            <w:gridSpan w:val="5"/>
          </w:tcPr>
          <w:p w:rsidR="003F66CD" w:rsidRPr="00CA2591" w:rsidRDefault="00CA2591" w:rsidP="00CA2591">
            <w:pPr>
              <w:pStyle w:val="Text"/>
              <w:spacing w:before="0" w:line="240" w:lineRule="auto"/>
              <w:jc w:val="center"/>
              <w:rPr>
                <w:b/>
                <w:sz w:val="20"/>
              </w:rPr>
            </w:pPr>
            <w:r>
              <w:rPr>
                <w:b/>
                <w:sz w:val="20"/>
              </w:rPr>
              <w:t xml:space="preserve">                     </w:t>
            </w:r>
            <w:r w:rsidR="000A1E84" w:rsidRPr="00CA2591">
              <w:rPr>
                <w:b/>
                <w:sz w:val="20"/>
              </w:rPr>
              <w:t>Analogues</w:t>
            </w:r>
          </w:p>
        </w:tc>
        <w:tc>
          <w:tcPr>
            <w:tcW w:w="2070" w:type="dxa"/>
          </w:tcPr>
          <w:p w:rsidR="003F66CD" w:rsidRPr="00CA2591" w:rsidRDefault="003F66CD" w:rsidP="00CA2591">
            <w:pPr>
              <w:pStyle w:val="Text"/>
              <w:spacing w:before="0" w:line="240" w:lineRule="auto"/>
              <w:jc w:val="center"/>
              <w:rPr>
                <w:sz w:val="20"/>
              </w:rPr>
            </w:pPr>
          </w:p>
        </w:tc>
      </w:tr>
      <w:tr w:rsidR="003F66CD" w:rsidRPr="00CA2591" w:rsidTr="00CA2591">
        <w:tc>
          <w:tcPr>
            <w:tcW w:w="2340" w:type="dxa"/>
          </w:tcPr>
          <w:p w:rsidR="003F66CD" w:rsidRPr="00CA2591" w:rsidRDefault="004F5FB9" w:rsidP="00CA2591">
            <w:pPr>
              <w:pStyle w:val="Text"/>
              <w:spacing w:before="0" w:line="240" w:lineRule="auto"/>
              <w:jc w:val="center"/>
              <w:rPr>
                <w:b/>
                <w:sz w:val="20"/>
              </w:rPr>
            </w:pPr>
            <w:r w:rsidRPr="00CA2591">
              <w:rPr>
                <w:b/>
                <w:sz w:val="20"/>
              </w:rPr>
              <w:t>Dimethyldichloro</w:t>
            </w:r>
            <w:r w:rsidR="000A1E84" w:rsidRPr="00CA2591">
              <w:rPr>
                <w:b/>
                <w:sz w:val="20"/>
              </w:rPr>
              <w:t>silane</w:t>
            </w:r>
          </w:p>
        </w:tc>
        <w:tc>
          <w:tcPr>
            <w:tcW w:w="1350" w:type="dxa"/>
            <w:gridSpan w:val="2"/>
          </w:tcPr>
          <w:p w:rsidR="003F66CD" w:rsidRPr="00CA2591" w:rsidRDefault="000A1E84" w:rsidP="00CA2591">
            <w:pPr>
              <w:pStyle w:val="Text"/>
              <w:autoSpaceDE w:val="0"/>
              <w:autoSpaceDN w:val="0"/>
              <w:spacing w:before="0" w:line="240" w:lineRule="auto"/>
              <w:ind w:left="57"/>
              <w:jc w:val="center"/>
              <w:rPr>
                <w:sz w:val="20"/>
              </w:rPr>
            </w:pPr>
            <w:r w:rsidRPr="00CA2591">
              <w:rPr>
                <w:sz w:val="20"/>
              </w:rPr>
              <w:t>75-78-5</w:t>
            </w:r>
          </w:p>
        </w:tc>
        <w:tc>
          <w:tcPr>
            <w:tcW w:w="1260" w:type="dxa"/>
          </w:tcPr>
          <w:p w:rsidR="003F66CD" w:rsidRPr="00CA2591" w:rsidRDefault="004F5FB9" w:rsidP="00CA2591">
            <w:pPr>
              <w:pStyle w:val="Text"/>
              <w:spacing w:before="0" w:line="240" w:lineRule="auto"/>
              <w:jc w:val="center"/>
              <w:rPr>
                <w:sz w:val="20"/>
              </w:rPr>
            </w:pPr>
            <w:r w:rsidRPr="00CA2591">
              <w:rPr>
                <w:sz w:val="20"/>
              </w:rPr>
              <w:t>DMDCS</w:t>
            </w:r>
          </w:p>
        </w:tc>
        <w:tc>
          <w:tcPr>
            <w:tcW w:w="2970" w:type="dxa"/>
          </w:tcPr>
          <w:p w:rsidR="003F66CD" w:rsidRPr="00CA2591" w:rsidRDefault="0048113C" w:rsidP="00CA2591">
            <w:pPr>
              <w:pStyle w:val="Text"/>
              <w:spacing w:before="0" w:line="240" w:lineRule="auto"/>
              <w:jc w:val="center"/>
              <w:rPr>
                <w:sz w:val="20"/>
              </w:rPr>
            </w:pPr>
            <w:r w:rsidRPr="00CA2591">
              <w:rPr>
                <w:noProof/>
                <w:sz w:val="20"/>
                <w:lang w:val="en-GB" w:eastAsia="en-GB"/>
              </w:rPr>
              <w:drawing>
                <wp:inline distT="0" distB="0" distL="0" distR="0" wp14:anchorId="3EE68DE0" wp14:editId="2DDD8D23">
                  <wp:extent cx="1249680" cy="1249680"/>
                  <wp:effectExtent l="0" t="0" r="7620" b="7620"/>
                  <wp:docPr id="1" name="Picture 1" descr="RenderImage?maxscale=30&amp;width=200&amp;height=200&amp;superlistid=000075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nderImage?maxscale=30&amp;width=200&amp;height=200&amp;superlistid=00007578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49680" cy="1249680"/>
                          </a:xfrm>
                          <a:prstGeom prst="rect">
                            <a:avLst/>
                          </a:prstGeom>
                          <a:noFill/>
                          <a:ln>
                            <a:noFill/>
                          </a:ln>
                        </pic:spPr>
                      </pic:pic>
                    </a:graphicData>
                  </a:graphic>
                </wp:inline>
              </w:drawing>
            </w:r>
          </w:p>
        </w:tc>
        <w:tc>
          <w:tcPr>
            <w:tcW w:w="2070" w:type="dxa"/>
          </w:tcPr>
          <w:p w:rsidR="003F66CD" w:rsidRPr="00CA2591" w:rsidRDefault="003F66CD" w:rsidP="00CA2591">
            <w:pPr>
              <w:pStyle w:val="Text"/>
              <w:autoSpaceDE w:val="0"/>
              <w:autoSpaceDN w:val="0"/>
              <w:spacing w:before="0" w:line="240" w:lineRule="auto"/>
              <w:ind w:left="57"/>
              <w:jc w:val="center"/>
              <w:rPr>
                <w:sz w:val="20"/>
              </w:rPr>
            </w:pPr>
            <w:r w:rsidRPr="00CA2591">
              <w:rPr>
                <w:sz w:val="20"/>
              </w:rPr>
              <w:t>Hydrol</w:t>
            </w:r>
            <w:r w:rsidR="00FB6D23" w:rsidRPr="00CA2591">
              <w:rPr>
                <w:sz w:val="20"/>
              </w:rPr>
              <w:t>ysis</w:t>
            </w:r>
          </w:p>
        </w:tc>
      </w:tr>
      <w:tr w:rsidR="003F66CD" w:rsidRPr="00CA2591" w:rsidTr="00CA2591">
        <w:tc>
          <w:tcPr>
            <w:tcW w:w="2340" w:type="dxa"/>
          </w:tcPr>
          <w:p w:rsidR="003F66CD" w:rsidRPr="00CA2591" w:rsidRDefault="004F5FB9" w:rsidP="00CA2591">
            <w:pPr>
              <w:pStyle w:val="Text"/>
              <w:spacing w:before="0" w:line="240" w:lineRule="auto"/>
              <w:jc w:val="center"/>
              <w:rPr>
                <w:b/>
                <w:sz w:val="20"/>
              </w:rPr>
            </w:pPr>
            <w:r w:rsidRPr="00CA2591">
              <w:rPr>
                <w:b/>
                <w:sz w:val="20"/>
              </w:rPr>
              <w:t>Methyltrichlorosilane</w:t>
            </w:r>
          </w:p>
        </w:tc>
        <w:tc>
          <w:tcPr>
            <w:tcW w:w="1350" w:type="dxa"/>
            <w:gridSpan w:val="2"/>
          </w:tcPr>
          <w:p w:rsidR="003F66CD" w:rsidRPr="00CA2591" w:rsidRDefault="000A1E84" w:rsidP="00CA2591">
            <w:pPr>
              <w:pStyle w:val="Text"/>
              <w:autoSpaceDE w:val="0"/>
              <w:autoSpaceDN w:val="0"/>
              <w:spacing w:before="0" w:line="240" w:lineRule="auto"/>
              <w:ind w:left="57"/>
              <w:jc w:val="center"/>
              <w:rPr>
                <w:sz w:val="20"/>
              </w:rPr>
            </w:pPr>
            <w:r w:rsidRPr="00CA2591">
              <w:rPr>
                <w:sz w:val="20"/>
              </w:rPr>
              <w:t>75-79-6</w:t>
            </w:r>
          </w:p>
        </w:tc>
        <w:tc>
          <w:tcPr>
            <w:tcW w:w="1260" w:type="dxa"/>
          </w:tcPr>
          <w:p w:rsidR="003F66CD" w:rsidRPr="00CA2591" w:rsidRDefault="004F5FB9" w:rsidP="00CA2591">
            <w:pPr>
              <w:pStyle w:val="Text"/>
              <w:spacing w:before="0" w:line="240" w:lineRule="auto"/>
              <w:jc w:val="center"/>
              <w:rPr>
                <w:sz w:val="20"/>
              </w:rPr>
            </w:pPr>
            <w:r w:rsidRPr="00CA2591">
              <w:rPr>
                <w:sz w:val="20"/>
              </w:rPr>
              <w:t>MTCS</w:t>
            </w:r>
          </w:p>
        </w:tc>
        <w:tc>
          <w:tcPr>
            <w:tcW w:w="2970" w:type="dxa"/>
          </w:tcPr>
          <w:p w:rsidR="003F66CD" w:rsidRPr="00CA2591" w:rsidRDefault="0048113C" w:rsidP="00CA2591">
            <w:pPr>
              <w:pStyle w:val="Text"/>
              <w:spacing w:before="0" w:line="240" w:lineRule="auto"/>
              <w:jc w:val="center"/>
              <w:rPr>
                <w:sz w:val="20"/>
              </w:rPr>
            </w:pPr>
            <w:r w:rsidRPr="00CA2591">
              <w:rPr>
                <w:noProof/>
                <w:sz w:val="20"/>
                <w:lang w:val="en-GB" w:eastAsia="en-GB"/>
              </w:rPr>
              <w:drawing>
                <wp:inline distT="0" distB="0" distL="0" distR="0" wp14:anchorId="277C4B7D" wp14:editId="6668B0BB">
                  <wp:extent cx="1272540" cy="1272540"/>
                  <wp:effectExtent l="0" t="0" r="3810" b="3810"/>
                  <wp:docPr id="3" name="Picture 3" descr="RenderImage?maxscale=30&amp;width=200&amp;height=200&amp;superlistid=000075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nderImage?maxscale=30&amp;width=200&amp;height=200&amp;superlistid=00007579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72540" cy="1272540"/>
                          </a:xfrm>
                          <a:prstGeom prst="rect">
                            <a:avLst/>
                          </a:prstGeom>
                          <a:noFill/>
                          <a:ln>
                            <a:noFill/>
                          </a:ln>
                        </pic:spPr>
                      </pic:pic>
                    </a:graphicData>
                  </a:graphic>
                </wp:inline>
              </w:drawing>
            </w:r>
          </w:p>
        </w:tc>
        <w:tc>
          <w:tcPr>
            <w:tcW w:w="2070" w:type="dxa"/>
          </w:tcPr>
          <w:p w:rsidR="003F66CD" w:rsidRPr="00CA2591" w:rsidRDefault="003F66CD" w:rsidP="00CA2591">
            <w:pPr>
              <w:pStyle w:val="Text"/>
              <w:autoSpaceDE w:val="0"/>
              <w:autoSpaceDN w:val="0"/>
              <w:spacing w:before="0" w:line="240" w:lineRule="auto"/>
              <w:ind w:left="57"/>
              <w:jc w:val="center"/>
              <w:rPr>
                <w:sz w:val="20"/>
              </w:rPr>
            </w:pPr>
            <w:r w:rsidRPr="00CA2591">
              <w:rPr>
                <w:sz w:val="20"/>
              </w:rPr>
              <w:t>Hydrol</w:t>
            </w:r>
            <w:r w:rsidR="00FB6D23" w:rsidRPr="00CA2591">
              <w:rPr>
                <w:sz w:val="20"/>
              </w:rPr>
              <w:t>ysis</w:t>
            </w:r>
          </w:p>
        </w:tc>
      </w:tr>
      <w:tr w:rsidR="003F66CD" w:rsidRPr="00CA2591" w:rsidTr="00CA2591">
        <w:tc>
          <w:tcPr>
            <w:tcW w:w="2340" w:type="dxa"/>
          </w:tcPr>
          <w:p w:rsidR="003F66CD" w:rsidRPr="00CA2591" w:rsidRDefault="000A1E84" w:rsidP="00CA2591">
            <w:pPr>
              <w:pStyle w:val="Text"/>
              <w:spacing w:before="0" w:line="240" w:lineRule="auto"/>
              <w:jc w:val="center"/>
              <w:rPr>
                <w:b/>
                <w:sz w:val="20"/>
              </w:rPr>
            </w:pPr>
            <w:r w:rsidRPr="00CA2591">
              <w:rPr>
                <w:b/>
                <w:sz w:val="20"/>
              </w:rPr>
              <w:t>Trimethoxyvinylsilane</w:t>
            </w:r>
          </w:p>
        </w:tc>
        <w:tc>
          <w:tcPr>
            <w:tcW w:w="1350" w:type="dxa"/>
            <w:gridSpan w:val="2"/>
          </w:tcPr>
          <w:p w:rsidR="003F66CD" w:rsidRPr="00CA2591" w:rsidRDefault="000A1E84" w:rsidP="00CA2591">
            <w:pPr>
              <w:pStyle w:val="Text"/>
              <w:autoSpaceDE w:val="0"/>
              <w:autoSpaceDN w:val="0"/>
              <w:spacing w:before="0" w:line="240" w:lineRule="auto"/>
              <w:ind w:left="57"/>
              <w:jc w:val="center"/>
              <w:rPr>
                <w:sz w:val="20"/>
              </w:rPr>
            </w:pPr>
            <w:r w:rsidRPr="00CA2591">
              <w:rPr>
                <w:sz w:val="20"/>
              </w:rPr>
              <w:t>2768-02-7</w:t>
            </w:r>
          </w:p>
        </w:tc>
        <w:tc>
          <w:tcPr>
            <w:tcW w:w="1260" w:type="dxa"/>
          </w:tcPr>
          <w:p w:rsidR="003F66CD" w:rsidRPr="00CA2591" w:rsidRDefault="000A1E84" w:rsidP="00CA2591">
            <w:pPr>
              <w:pStyle w:val="Text"/>
              <w:autoSpaceDE w:val="0"/>
              <w:autoSpaceDN w:val="0"/>
              <w:spacing w:before="0" w:line="240" w:lineRule="auto"/>
              <w:ind w:left="57"/>
              <w:jc w:val="center"/>
              <w:rPr>
                <w:sz w:val="20"/>
              </w:rPr>
            </w:pPr>
            <w:r w:rsidRPr="00CA2591">
              <w:rPr>
                <w:sz w:val="20"/>
              </w:rPr>
              <w:t>VTMS</w:t>
            </w:r>
          </w:p>
        </w:tc>
        <w:tc>
          <w:tcPr>
            <w:tcW w:w="2970" w:type="dxa"/>
          </w:tcPr>
          <w:p w:rsidR="00100D7E" w:rsidRPr="00CA2591" w:rsidRDefault="00E303F9" w:rsidP="00CA2591">
            <w:pPr>
              <w:pStyle w:val="Text"/>
              <w:spacing w:before="0" w:line="240" w:lineRule="auto"/>
              <w:jc w:val="center"/>
              <w:rPr>
                <w:sz w:val="20"/>
              </w:rPr>
            </w:pPr>
            <w:r w:rsidRPr="00CA2591">
              <w:rPr>
                <w:noProof/>
                <w:sz w:val="20"/>
                <w:lang w:val="en-GB" w:eastAsia="en-GB"/>
              </w:rPr>
              <w:drawing>
                <wp:inline distT="0" distB="0" distL="0" distR="0" wp14:anchorId="5950EA39" wp14:editId="103662F4">
                  <wp:extent cx="966159" cy="966159"/>
                  <wp:effectExtent l="0" t="0" r="0" b="0"/>
                  <wp:docPr id="21" name="Picture 9" descr="http://chem.sis.nlm.nih.gov/chemidplus/RenderImage?maxscale=30&amp;width=200&amp;height=200&amp;superlistid=0002768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chem.sis.nlm.nih.gov/chemidplus/RenderImage?maxscale=30&amp;width=200&amp;height=200&amp;superlistid=000276802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63562" cy="963562"/>
                          </a:xfrm>
                          <a:prstGeom prst="rect">
                            <a:avLst/>
                          </a:prstGeom>
                          <a:noFill/>
                          <a:ln>
                            <a:noFill/>
                          </a:ln>
                        </pic:spPr>
                      </pic:pic>
                    </a:graphicData>
                  </a:graphic>
                </wp:inline>
              </w:drawing>
            </w:r>
          </w:p>
          <w:p w:rsidR="00100D7E" w:rsidRPr="00CA2591" w:rsidRDefault="00100D7E" w:rsidP="00CA2591">
            <w:pPr>
              <w:pStyle w:val="Text"/>
              <w:spacing w:before="0" w:line="240" w:lineRule="auto"/>
              <w:jc w:val="center"/>
              <w:rPr>
                <w:sz w:val="20"/>
              </w:rPr>
            </w:pPr>
          </w:p>
        </w:tc>
        <w:tc>
          <w:tcPr>
            <w:tcW w:w="2070" w:type="dxa"/>
          </w:tcPr>
          <w:p w:rsidR="003F66CD" w:rsidRPr="00CA2591" w:rsidRDefault="00056707" w:rsidP="00CA2591">
            <w:pPr>
              <w:pStyle w:val="Text"/>
              <w:autoSpaceDE w:val="0"/>
              <w:autoSpaceDN w:val="0"/>
              <w:spacing w:before="0" w:line="240" w:lineRule="auto"/>
              <w:ind w:left="57"/>
              <w:jc w:val="center"/>
              <w:rPr>
                <w:sz w:val="20"/>
              </w:rPr>
            </w:pPr>
            <w:r w:rsidRPr="00CA2591">
              <w:rPr>
                <w:sz w:val="20"/>
              </w:rPr>
              <w:t>H</w:t>
            </w:r>
            <w:r w:rsidR="00FB6D23" w:rsidRPr="00CA2591">
              <w:rPr>
                <w:sz w:val="20"/>
              </w:rPr>
              <w:t xml:space="preserve">uman </w:t>
            </w:r>
            <w:r w:rsidRPr="00CA2591">
              <w:rPr>
                <w:sz w:val="20"/>
              </w:rPr>
              <w:t>H</w:t>
            </w:r>
            <w:r w:rsidR="00FB6D23" w:rsidRPr="00CA2591">
              <w:rPr>
                <w:sz w:val="20"/>
              </w:rPr>
              <w:t>ealth</w:t>
            </w:r>
          </w:p>
          <w:p w:rsidR="00214553" w:rsidRPr="00CA2591" w:rsidRDefault="00214553" w:rsidP="00CA2591">
            <w:pPr>
              <w:pStyle w:val="Text"/>
              <w:autoSpaceDE w:val="0"/>
              <w:autoSpaceDN w:val="0"/>
              <w:spacing w:before="0" w:line="240" w:lineRule="auto"/>
              <w:ind w:left="57"/>
              <w:jc w:val="center"/>
              <w:rPr>
                <w:sz w:val="20"/>
              </w:rPr>
            </w:pPr>
            <w:r w:rsidRPr="00CA2591">
              <w:rPr>
                <w:sz w:val="20"/>
              </w:rPr>
              <w:t>Aquatic Toxicity</w:t>
            </w:r>
          </w:p>
        </w:tc>
      </w:tr>
      <w:tr w:rsidR="003F66CD" w:rsidRPr="00CA2591" w:rsidTr="00CA2591">
        <w:tc>
          <w:tcPr>
            <w:tcW w:w="2340" w:type="dxa"/>
          </w:tcPr>
          <w:p w:rsidR="003F66CD" w:rsidRPr="00CA2591" w:rsidRDefault="000A1E84" w:rsidP="00CA2591">
            <w:pPr>
              <w:pStyle w:val="Text"/>
              <w:spacing w:before="0" w:line="240" w:lineRule="auto"/>
              <w:jc w:val="center"/>
              <w:rPr>
                <w:b/>
                <w:sz w:val="20"/>
              </w:rPr>
            </w:pPr>
            <w:r w:rsidRPr="00CA2591">
              <w:rPr>
                <w:b/>
                <w:sz w:val="20"/>
              </w:rPr>
              <w:t>Dimethylsilanediol</w:t>
            </w:r>
          </w:p>
        </w:tc>
        <w:tc>
          <w:tcPr>
            <w:tcW w:w="1350" w:type="dxa"/>
            <w:gridSpan w:val="2"/>
          </w:tcPr>
          <w:p w:rsidR="003F66CD" w:rsidRPr="00CA2591" w:rsidRDefault="000A532B" w:rsidP="00CA2591">
            <w:pPr>
              <w:pStyle w:val="Text"/>
              <w:spacing w:before="0" w:line="240" w:lineRule="auto"/>
              <w:jc w:val="center"/>
              <w:rPr>
                <w:sz w:val="20"/>
              </w:rPr>
            </w:pPr>
            <w:r w:rsidRPr="00CA2591">
              <w:rPr>
                <w:sz w:val="20"/>
              </w:rPr>
              <w:t>1066-42-8</w:t>
            </w:r>
          </w:p>
        </w:tc>
        <w:tc>
          <w:tcPr>
            <w:tcW w:w="1260" w:type="dxa"/>
          </w:tcPr>
          <w:p w:rsidR="003F66CD" w:rsidRPr="00CA2591" w:rsidRDefault="000A1E84" w:rsidP="00CA2591">
            <w:pPr>
              <w:pStyle w:val="Text"/>
              <w:autoSpaceDE w:val="0"/>
              <w:autoSpaceDN w:val="0"/>
              <w:spacing w:before="0" w:line="240" w:lineRule="auto"/>
              <w:ind w:left="57"/>
              <w:jc w:val="center"/>
              <w:rPr>
                <w:sz w:val="20"/>
              </w:rPr>
            </w:pPr>
            <w:r w:rsidRPr="00CA2591">
              <w:rPr>
                <w:sz w:val="20"/>
              </w:rPr>
              <w:t>DMSD</w:t>
            </w:r>
          </w:p>
        </w:tc>
        <w:tc>
          <w:tcPr>
            <w:tcW w:w="2970" w:type="dxa"/>
          </w:tcPr>
          <w:p w:rsidR="00060933" w:rsidRPr="00CA2591" w:rsidRDefault="00060933" w:rsidP="00CA2591">
            <w:pPr>
              <w:pStyle w:val="Text"/>
              <w:spacing w:before="0" w:line="240" w:lineRule="auto"/>
              <w:jc w:val="center"/>
              <w:rPr>
                <w:sz w:val="20"/>
              </w:rPr>
            </w:pPr>
          </w:p>
          <w:p w:rsidR="00060933" w:rsidRPr="00CA2591" w:rsidRDefault="0048113C" w:rsidP="00CA2591">
            <w:pPr>
              <w:pStyle w:val="Text"/>
              <w:spacing w:before="0" w:line="240" w:lineRule="auto"/>
              <w:jc w:val="center"/>
              <w:rPr>
                <w:sz w:val="20"/>
              </w:rPr>
            </w:pPr>
            <w:r w:rsidRPr="00CA2591">
              <w:rPr>
                <w:noProof/>
                <w:sz w:val="20"/>
                <w:lang w:val="en-GB" w:eastAsia="en-GB"/>
              </w:rPr>
              <w:drawing>
                <wp:inline distT="0" distB="0" distL="0" distR="0" wp14:anchorId="117EE0BE" wp14:editId="4B80920B">
                  <wp:extent cx="600152" cy="560142"/>
                  <wp:effectExtent l="0" t="0" r="0" b="0"/>
                  <wp:docPr id="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31" cstate="print"/>
                          <a:srcRect/>
                          <a:stretch>
                            <a:fillRect/>
                          </a:stretch>
                        </pic:blipFill>
                        <pic:spPr bwMode="auto">
                          <a:xfrm>
                            <a:off x="0" y="0"/>
                            <a:ext cx="597896" cy="558036"/>
                          </a:xfrm>
                          <a:prstGeom prst="rect">
                            <a:avLst/>
                          </a:prstGeom>
                          <a:noFill/>
                        </pic:spPr>
                      </pic:pic>
                    </a:graphicData>
                  </a:graphic>
                </wp:inline>
              </w:drawing>
            </w:r>
          </w:p>
        </w:tc>
        <w:tc>
          <w:tcPr>
            <w:tcW w:w="2070" w:type="dxa"/>
          </w:tcPr>
          <w:p w:rsidR="003F66CD" w:rsidRPr="00CA2591" w:rsidRDefault="003F66CD" w:rsidP="00CA2591">
            <w:pPr>
              <w:pStyle w:val="Text"/>
              <w:autoSpaceDE w:val="0"/>
              <w:autoSpaceDN w:val="0"/>
              <w:spacing w:before="0" w:line="240" w:lineRule="auto"/>
              <w:ind w:left="57"/>
              <w:jc w:val="center"/>
              <w:rPr>
                <w:sz w:val="20"/>
              </w:rPr>
            </w:pPr>
            <w:r w:rsidRPr="00CA2591">
              <w:rPr>
                <w:sz w:val="20"/>
              </w:rPr>
              <w:t>Aquatic Tox</w:t>
            </w:r>
            <w:r w:rsidR="00FB6D23" w:rsidRPr="00CA2591">
              <w:rPr>
                <w:sz w:val="20"/>
              </w:rPr>
              <w:t>icity</w:t>
            </w:r>
          </w:p>
        </w:tc>
      </w:tr>
    </w:tbl>
    <w:p w:rsidR="00206140" w:rsidRPr="00D93C78" w:rsidRDefault="00740E9A" w:rsidP="00CA2591">
      <w:pPr>
        <w:pStyle w:val="Caption"/>
        <w:ind w:hanging="839"/>
        <w:jc w:val="both"/>
        <w:rPr>
          <w:rFonts w:ascii="Times New Roman" w:hAnsi="Times New Roman"/>
          <w:szCs w:val="24"/>
        </w:rPr>
      </w:pPr>
      <w:bookmarkStart w:id="29" w:name="_Toc298237440"/>
      <w:bookmarkStart w:id="30" w:name="_Toc310335203"/>
      <w:r>
        <w:rPr>
          <w:rFonts w:ascii="Times New Roman" w:hAnsi="Times New Roman"/>
          <w:szCs w:val="24"/>
        </w:rPr>
        <w:t xml:space="preserve"> </w:t>
      </w:r>
      <w:r w:rsidR="00206140" w:rsidRPr="00D93C78">
        <w:rPr>
          <w:rFonts w:ascii="Times New Roman" w:hAnsi="Times New Roman"/>
          <w:szCs w:val="24"/>
        </w:rPr>
        <w:t xml:space="preserve">Table </w:t>
      </w:r>
      <w:r w:rsidR="00F34B13" w:rsidRPr="00D93C78">
        <w:rPr>
          <w:rFonts w:ascii="Times New Roman" w:hAnsi="Times New Roman"/>
          <w:szCs w:val="24"/>
        </w:rPr>
        <w:t>4</w:t>
      </w:r>
      <w:r w:rsidR="00206140" w:rsidRPr="00D93C78">
        <w:rPr>
          <w:rFonts w:ascii="Times New Roman" w:hAnsi="Times New Roman"/>
          <w:szCs w:val="24"/>
        </w:rPr>
        <w:t xml:space="preserve">. </w:t>
      </w:r>
      <w:r w:rsidR="00CA2591">
        <w:rPr>
          <w:rFonts w:ascii="Times New Roman" w:hAnsi="Times New Roman"/>
          <w:szCs w:val="24"/>
        </w:rPr>
        <w:t xml:space="preserve">    </w:t>
      </w:r>
      <w:r w:rsidR="00206140" w:rsidRPr="00D93C78">
        <w:rPr>
          <w:rFonts w:ascii="Times New Roman" w:hAnsi="Times New Roman"/>
          <w:szCs w:val="24"/>
        </w:rPr>
        <w:t>Read Across Strategy</w:t>
      </w:r>
      <w:bookmarkEnd w:id="29"/>
      <w:bookmarkEnd w:id="30"/>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165"/>
        <w:gridCol w:w="1580"/>
        <w:gridCol w:w="1086"/>
        <w:gridCol w:w="1086"/>
        <w:gridCol w:w="1383"/>
        <w:gridCol w:w="1580"/>
        <w:gridCol w:w="1679"/>
      </w:tblGrid>
      <w:tr w:rsidR="00DA41CB" w:rsidRPr="00D93C78" w:rsidTr="00CA2591">
        <w:trPr>
          <w:trHeight w:val="354"/>
        </w:trPr>
        <w:tc>
          <w:tcPr>
            <w:tcW w:w="1165" w:type="dxa"/>
            <w:tcBorders>
              <w:top w:val="single" w:sz="12" w:space="0" w:color="auto"/>
              <w:bottom w:val="single" w:sz="6" w:space="0" w:color="auto"/>
            </w:tcBorders>
            <w:shd w:val="clear" w:color="auto" w:fill="auto"/>
          </w:tcPr>
          <w:p w:rsidR="00DA41CB" w:rsidRPr="00CA2591" w:rsidRDefault="00DA41CB" w:rsidP="00CA2591">
            <w:pPr>
              <w:pStyle w:val="BodyText"/>
              <w:spacing w:after="0"/>
              <w:jc w:val="center"/>
              <w:rPr>
                <w:b/>
                <w:snapToGrid w:val="0"/>
                <w:sz w:val="20"/>
                <w:highlight w:val="yellow"/>
              </w:rPr>
            </w:pPr>
          </w:p>
        </w:tc>
        <w:tc>
          <w:tcPr>
            <w:tcW w:w="2666" w:type="dxa"/>
            <w:gridSpan w:val="2"/>
            <w:tcBorders>
              <w:top w:val="single" w:sz="12" w:space="0" w:color="auto"/>
              <w:bottom w:val="single" w:sz="6" w:space="0" w:color="auto"/>
            </w:tcBorders>
            <w:shd w:val="clear" w:color="auto" w:fill="auto"/>
          </w:tcPr>
          <w:p w:rsidR="00DA41CB" w:rsidRPr="00CA2591" w:rsidRDefault="00DA41CB" w:rsidP="00CA2591">
            <w:pPr>
              <w:pStyle w:val="BodyText"/>
              <w:spacing w:after="0"/>
              <w:jc w:val="center"/>
              <w:rPr>
                <w:b/>
                <w:snapToGrid w:val="0"/>
                <w:sz w:val="20"/>
              </w:rPr>
            </w:pPr>
            <w:r w:rsidRPr="00CA2591">
              <w:rPr>
                <w:b/>
                <w:snapToGrid w:val="0"/>
                <w:sz w:val="20"/>
              </w:rPr>
              <w:t>Environmental fate</w:t>
            </w:r>
          </w:p>
        </w:tc>
        <w:tc>
          <w:tcPr>
            <w:tcW w:w="4049" w:type="dxa"/>
            <w:gridSpan w:val="3"/>
            <w:tcBorders>
              <w:top w:val="single" w:sz="12" w:space="0" w:color="auto"/>
              <w:bottom w:val="single" w:sz="6" w:space="0" w:color="auto"/>
            </w:tcBorders>
            <w:shd w:val="clear" w:color="auto" w:fill="auto"/>
          </w:tcPr>
          <w:p w:rsidR="00DA41CB" w:rsidRPr="00CA2591" w:rsidRDefault="00DA41CB" w:rsidP="00CA2591">
            <w:pPr>
              <w:pStyle w:val="BodyText"/>
              <w:spacing w:after="0"/>
              <w:jc w:val="center"/>
              <w:rPr>
                <w:b/>
                <w:snapToGrid w:val="0"/>
                <w:sz w:val="20"/>
              </w:rPr>
            </w:pPr>
            <w:r w:rsidRPr="00CA2591">
              <w:rPr>
                <w:b/>
                <w:snapToGrid w:val="0"/>
                <w:sz w:val="20"/>
              </w:rPr>
              <w:t>Mammalian toxicity</w:t>
            </w:r>
          </w:p>
        </w:tc>
        <w:tc>
          <w:tcPr>
            <w:tcW w:w="1679" w:type="dxa"/>
            <w:tcBorders>
              <w:top w:val="single" w:sz="12" w:space="0" w:color="auto"/>
              <w:bottom w:val="single" w:sz="6" w:space="0" w:color="auto"/>
            </w:tcBorders>
          </w:tcPr>
          <w:p w:rsidR="00DA41CB" w:rsidRPr="00CA2591" w:rsidRDefault="00DA41CB" w:rsidP="00CA2591">
            <w:pPr>
              <w:pStyle w:val="BodyText"/>
              <w:spacing w:after="0"/>
              <w:jc w:val="center"/>
              <w:rPr>
                <w:b/>
                <w:snapToGrid w:val="0"/>
                <w:sz w:val="20"/>
              </w:rPr>
            </w:pPr>
            <w:r w:rsidRPr="00CA2591">
              <w:rPr>
                <w:b/>
                <w:snapToGrid w:val="0"/>
                <w:sz w:val="20"/>
              </w:rPr>
              <w:t>Environmental effects</w:t>
            </w:r>
          </w:p>
        </w:tc>
      </w:tr>
      <w:tr w:rsidR="00DA41CB" w:rsidRPr="00D93C78" w:rsidTr="00CA2591">
        <w:trPr>
          <w:trHeight w:val="354"/>
        </w:trPr>
        <w:tc>
          <w:tcPr>
            <w:tcW w:w="1165" w:type="dxa"/>
            <w:tcBorders>
              <w:top w:val="single" w:sz="6" w:space="0" w:color="auto"/>
              <w:bottom w:val="single" w:sz="12" w:space="0" w:color="auto"/>
            </w:tcBorders>
            <w:shd w:val="clear" w:color="auto" w:fill="auto"/>
          </w:tcPr>
          <w:p w:rsidR="00DA41CB" w:rsidRPr="00CA2591" w:rsidRDefault="00DA41CB" w:rsidP="00CA2591">
            <w:pPr>
              <w:pStyle w:val="BodyText"/>
              <w:spacing w:after="0"/>
              <w:jc w:val="center"/>
              <w:rPr>
                <w:b/>
                <w:snapToGrid w:val="0"/>
                <w:sz w:val="20"/>
              </w:rPr>
            </w:pPr>
            <w:r w:rsidRPr="00CA2591">
              <w:rPr>
                <w:b/>
                <w:snapToGrid w:val="0"/>
                <w:sz w:val="20"/>
              </w:rPr>
              <w:t>Substance</w:t>
            </w:r>
          </w:p>
        </w:tc>
        <w:tc>
          <w:tcPr>
            <w:tcW w:w="1580" w:type="dxa"/>
            <w:tcBorders>
              <w:top w:val="single" w:sz="6" w:space="0" w:color="auto"/>
              <w:bottom w:val="single" w:sz="12" w:space="0" w:color="auto"/>
            </w:tcBorders>
            <w:shd w:val="clear" w:color="auto" w:fill="auto"/>
          </w:tcPr>
          <w:p w:rsidR="00DA41CB" w:rsidRPr="00CA2591" w:rsidRDefault="00DA41CB" w:rsidP="00CA2591">
            <w:pPr>
              <w:pStyle w:val="BodyText"/>
              <w:spacing w:after="0"/>
              <w:jc w:val="center"/>
              <w:rPr>
                <w:b/>
                <w:snapToGrid w:val="0"/>
                <w:sz w:val="20"/>
              </w:rPr>
            </w:pPr>
            <w:r w:rsidRPr="00CA2591">
              <w:rPr>
                <w:b/>
                <w:snapToGrid w:val="0"/>
                <w:sz w:val="20"/>
              </w:rPr>
              <w:t>Hydrolysis</w:t>
            </w:r>
          </w:p>
        </w:tc>
        <w:tc>
          <w:tcPr>
            <w:tcW w:w="1086" w:type="dxa"/>
            <w:tcBorders>
              <w:top w:val="single" w:sz="6" w:space="0" w:color="auto"/>
              <w:bottom w:val="single" w:sz="12" w:space="0" w:color="auto"/>
            </w:tcBorders>
          </w:tcPr>
          <w:p w:rsidR="00DA41CB" w:rsidRPr="00CA2591" w:rsidRDefault="00DA41CB" w:rsidP="00CA2591">
            <w:pPr>
              <w:pStyle w:val="BodyText"/>
              <w:spacing w:after="0"/>
              <w:jc w:val="center"/>
              <w:rPr>
                <w:b/>
                <w:snapToGrid w:val="0"/>
                <w:sz w:val="20"/>
              </w:rPr>
            </w:pPr>
            <w:r w:rsidRPr="00CA2591">
              <w:rPr>
                <w:b/>
                <w:snapToGrid w:val="0"/>
                <w:sz w:val="20"/>
              </w:rPr>
              <w:t>Biodegradation</w:t>
            </w:r>
          </w:p>
        </w:tc>
        <w:tc>
          <w:tcPr>
            <w:tcW w:w="1086" w:type="dxa"/>
            <w:tcBorders>
              <w:top w:val="single" w:sz="6" w:space="0" w:color="auto"/>
              <w:bottom w:val="single" w:sz="12" w:space="0" w:color="auto"/>
            </w:tcBorders>
            <w:shd w:val="clear" w:color="auto" w:fill="auto"/>
          </w:tcPr>
          <w:p w:rsidR="00DA41CB" w:rsidRPr="00CA2591" w:rsidRDefault="00577609" w:rsidP="00CA2591">
            <w:pPr>
              <w:pStyle w:val="BodyText"/>
              <w:spacing w:after="0"/>
              <w:jc w:val="center"/>
              <w:rPr>
                <w:b/>
                <w:snapToGrid w:val="0"/>
                <w:sz w:val="20"/>
              </w:rPr>
            </w:pPr>
            <w:r w:rsidRPr="00CA2591">
              <w:rPr>
                <w:b/>
                <w:snapToGrid w:val="0"/>
                <w:sz w:val="20"/>
              </w:rPr>
              <w:t>Skin</w:t>
            </w:r>
            <w:r w:rsidR="006C2702" w:rsidRPr="00CA2591">
              <w:rPr>
                <w:b/>
                <w:snapToGrid w:val="0"/>
                <w:sz w:val="20"/>
              </w:rPr>
              <w:t>,</w:t>
            </w:r>
            <w:r w:rsidRPr="00CA2591">
              <w:rPr>
                <w:b/>
                <w:snapToGrid w:val="0"/>
                <w:sz w:val="20"/>
              </w:rPr>
              <w:t xml:space="preserve"> </w:t>
            </w:r>
            <w:r w:rsidR="00DA41CB" w:rsidRPr="00CA2591">
              <w:rPr>
                <w:b/>
                <w:snapToGrid w:val="0"/>
                <w:sz w:val="20"/>
              </w:rPr>
              <w:t>Eye</w:t>
            </w:r>
            <w:r w:rsidR="006C2702" w:rsidRPr="00CA2591">
              <w:rPr>
                <w:b/>
                <w:snapToGrid w:val="0"/>
                <w:sz w:val="20"/>
              </w:rPr>
              <w:t>, Resp.  tract</w:t>
            </w:r>
            <w:r w:rsidR="00DA41CB" w:rsidRPr="00CA2591">
              <w:rPr>
                <w:b/>
                <w:snapToGrid w:val="0"/>
                <w:sz w:val="20"/>
              </w:rPr>
              <w:t xml:space="preserve"> irritation</w:t>
            </w:r>
          </w:p>
        </w:tc>
        <w:tc>
          <w:tcPr>
            <w:tcW w:w="1383" w:type="dxa"/>
            <w:tcBorders>
              <w:top w:val="single" w:sz="6" w:space="0" w:color="auto"/>
              <w:bottom w:val="single" w:sz="12" w:space="0" w:color="auto"/>
            </w:tcBorders>
            <w:shd w:val="clear" w:color="auto" w:fill="auto"/>
          </w:tcPr>
          <w:p w:rsidR="00DA41CB" w:rsidRPr="00CA2591" w:rsidRDefault="00577609" w:rsidP="00CA2591">
            <w:pPr>
              <w:pStyle w:val="BodyText"/>
              <w:spacing w:after="0"/>
              <w:jc w:val="center"/>
              <w:rPr>
                <w:b/>
                <w:snapToGrid w:val="0"/>
                <w:sz w:val="20"/>
              </w:rPr>
            </w:pPr>
            <w:r w:rsidRPr="00CA2591">
              <w:rPr>
                <w:b/>
                <w:snapToGrid w:val="0"/>
                <w:sz w:val="20"/>
              </w:rPr>
              <w:t>Repeated dose toxicity, Reproductive toxicity</w:t>
            </w:r>
          </w:p>
        </w:tc>
        <w:tc>
          <w:tcPr>
            <w:tcW w:w="1580" w:type="dxa"/>
            <w:tcBorders>
              <w:top w:val="single" w:sz="6" w:space="0" w:color="auto"/>
              <w:bottom w:val="single" w:sz="12" w:space="0" w:color="auto"/>
            </w:tcBorders>
          </w:tcPr>
          <w:p w:rsidR="00DA41CB" w:rsidRPr="00CA2591" w:rsidRDefault="00DA41CB" w:rsidP="00CA2591">
            <w:pPr>
              <w:pStyle w:val="BodyText"/>
              <w:spacing w:after="0"/>
              <w:jc w:val="center"/>
              <w:rPr>
                <w:b/>
                <w:snapToGrid w:val="0"/>
                <w:sz w:val="20"/>
              </w:rPr>
            </w:pPr>
            <w:r w:rsidRPr="00CA2591">
              <w:rPr>
                <w:b/>
                <w:snapToGrid w:val="0"/>
                <w:sz w:val="20"/>
              </w:rPr>
              <w:t>Genetic toxicity (chromosome aberration)</w:t>
            </w:r>
          </w:p>
        </w:tc>
        <w:tc>
          <w:tcPr>
            <w:tcW w:w="1679" w:type="dxa"/>
            <w:tcBorders>
              <w:top w:val="single" w:sz="6" w:space="0" w:color="auto"/>
              <w:bottom w:val="single" w:sz="12" w:space="0" w:color="auto"/>
            </w:tcBorders>
          </w:tcPr>
          <w:p w:rsidR="00DA41CB" w:rsidRPr="00CA2591" w:rsidRDefault="00DA41CB" w:rsidP="00CA2591">
            <w:pPr>
              <w:pStyle w:val="BodyText"/>
              <w:spacing w:after="0"/>
              <w:jc w:val="center"/>
              <w:rPr>
                <w:b/>
                <w:snapToGrid w:val="0"/>
                <w:sz w:val="20"/>
              </w:rPr>
            </w:pPr>
            <w:r w:rsidRPr="00CA2591">
              <w:rPr>
                <w:b/>
                <w:snapToGrid w:val="0"/>
                <w:sz w:val="20"/>
              </w:rPr>
              <w:t>Aquatic toxicity to Fish, Daphnid and Algae</w:t>
            </w:r>
          </w:p>
        </w:tc>
      </w:tr>
      <w:tr w:rsidR="00695F25" w:rsidRPr="00D93C78" w:rsidTr="00CA2591">
        <w:trPr>
          <w:trHeight w:val="145"/>
        </w:trPr>
        <w:tc>
          <w:tcPr>
            <w:tcW w:w="1165" w:type="dxa"/>
            <w:tcBorders>
              <w:top w:val="single" w:sz="12" w:space="0" w:color="auto"/>
            </w:tcBorders>
            <w:shd w:val="clear" w:color="auto" w:fill="auto"/>
          </w:tcPr>
          <w:p w:rsidR="00695F25" w:rsidRPr="00CA2591" w:rsidRDefault="00695F25" w:rsidP="00CA2591">
            <w:pPr>
              <w:jc w:val="center"/>
              <w:rPr>
                <w:b/>
                <w:sz w:val="20"/>
                <w:szCs w:val="20"/>
              </w:rPr>
            </w:pPr>
            <w:r w:rsidRPr="00CA2591">
              <w:rPr>
                <w:b/>
                <w:sz w:val="20"/>
                <w:szCs w:val="20"/>
              </w:rPr>
              <w:t>VDCS</w:t>
            </w:r>
          </w:p>
        </w:tc>
        <w:tc>
          <w:tcPr>
            <w:tcW w:w="1580" w:type="dxa"/>
            <w:tcBorders>
              <w:top w:val="single" w:sz="12" w:space="0" w:color="auto"/>
            </w:tcBorders>
            <w:shd w:val="clear" w:color="auto" w:fill="auto"/>
          </w:tcPr>
          <w:p w:rsidR="00695F25" w:rsidRPr="00CA2591" w:rsidRDefault="004F5FB9" w:rsidP="00CA2591">
            <w:pPr>
              <w:pStyle w:val="BodyText"/>
              <w:spacing w:after="0"/>
              <w:jc w:val="center"/>
              <w:rPr>
                <w:sz w:val="20"/>
              </w:rPr>
            </w:pPr>
            <w:r w:rsidRPr="00CA2591">
              <w:rPr>
                <w:sz w:val="20"/>
              </w:rPr>
              <w:t>DMDCS</w:t>
            </w:r>
          </w:p>
        </w:tc>
        <w:tc>
          <w:tcPr>
            <w:tcW w:w="1086" w:type="dxa"/>
            <w:tcBorders>
              <w:top w:val="single" w:sz="12" w:space="0" w:color="auto"/>
            </w:tcBorders>
          </w:tcPr>
          <w:p w:rsidR="000A1E84" w:rsidRPr="00CA2591" w:rsidRDefault="00695F25" w:rsidP="00CA2591">
            <w:pPr>
              <w:jc w:val="center"/>
              <w:rPr>
                <w:snapToGrid w:val="0"/>
                <w:sz w:val="20"/>
                <w:szCs w:val="20"/>
              </w:rPr>
            </w:pPr>
            <w:r w:rsidRPr="00CA2591">
              <w:rPr>
                <w:snapToGrid w:val="0"/>
                <w:sz w:val="20"/>
                <w:szCs w:val="20"/>
              </w:rPr>
              <w:t>X</w:t>
            </w:r>
          </w:p>
        </w:tc>
        <w:tc>
          <w:tcPr>
            <w:tcW w:w="1086" w:type="dxa"/>
            <w:vMerge w:val="restart"/>
            <w:tcBorders>
              <w:top w:val="single" w:sz="12" w:space="0" w:color="auto"/>
            </w:tcBorders>
            <w:shd w:val="clear" w:color="auto" w:fill="auto"/>
          </w:tcPr>
          <w:p w:rsidR="000A1E84" w:rsidRPr="00CA2591" w:rsidRDefault="00695F25" w:rsidP="00CA2591">
            <w:pPr>
              <w:jc w:val="center"/>
              <w:rPr>
                <w:sz w:val="20"/>
                <w:szCs w:val="20"/>
              </w:rPr>
            </w:pPr>
            <w:r w:rsidRPr="00CA2591">
              <w:rPr>
                <w:b/>
                <w:snapToGrid w:val="0"/>
                <w:sz w:val="20"/>
                <w:szCs w:val="20"/>
              </w:rPr>
              <w:t>VT</w:t>
            </w:r>
            <w:r w:rsidR="000C4D2C" w:rsidRPr="00CA2591">
              <w:rPr>
                <w:b/>
                <w:snapToGrid w:val="0"/>
                <w:sz w:val="20"/>
                <w:szCs w:val="20"/>
              </w:rPr>
              <w:t>C</w:t>
            </w:r>
            <w:r w:rsidRPr="00CA2591">
              <w:rPr>
                <w:b/>
                <w:snapToGrid w:val="0"/>
                <w:sz w:val="20"/>
                <w:szCs w:val="20"/>
              </w:rPr>
              <w:t>S</w:t>
            </w:r>
            <w:r w:rsidR="006C2702" w:rsidRPr="00CA2591">
              <w:rPr>
                <w:snapToGrid w:val="0"/>
                <w:sz w:val="20"/>
                <w:szCs w:val="20"/>
              </w:rPr>
              <w:t xml:space="preserve"> (RT)</w:t>
            </w:r>
            <w:r w:rsidR="000C4D2C" w:rsidRPr="00CA2591">
              <w:rPr>
                <w:snapToGrid w:val="0"/>
                <w:sz w:val="20"/>
                <w:szCs w:val="20"/>
              </w:rPr>
              <w:t>,</w:t>
            </w:r>
            <w:r w:rsidRPr="00CA2591">
              <w:rPr>
                <w:snapToGrid w:val="0"/>
                <w:sz w:val="20"/>
                <w:szCs w:val="20"/>
              </w:rPr>
              <w:t xml:space="preserve"> HCl</w:t>
            </w:r>
            <w:r w:rsidR="006C2702" w:rsidRPr="00CA2591">
              <w:rPr>
                <w:snapToGrid w:val="0"/>
                <w:sz w:val="20"/>
                <w:szCs w:val="20"/>
              </w:rPr>
              <w:t xml:space="preserve"> (skin, eye, RT)</w:t>
            </w:r>
          </w:p>
        </w:tc>
        <w:tc>
          <w:tcPr>
            <w:tcW w:w="1383" w:type="dxa"/>
            <w:vMerge w:val="restart"/>
            <w:tcBorders>
              <w:top w:val="single" w:sz="12" w:space="0" w:color="auto"/>
            </w:tcBorders>
            <w:shd w:val="clear" w:color="auto" w:fill="auto"/>
          </w:tcPr>
          <w:p w:rsidR="000A1E84" w:rsidRPr="00CA2591" w:rsidRDefault="00695F25" w:rsidP="00CA2591">
            <w:pPr>
              <w:pStyle w:val="BodyText"/>
              <w:spacing w:after="0"/>
              <w:jc w:val="center"/>
              <w:rPr>
                <w:snapToGrid w:val="0"/>
                <w:sz w:val="20"/>
              </w:rPr>
            </w:pPr>
            <w:r w:rsidRPr="00CA2591">
              <w:rPr>
                <w:sz w:val="20"/>
              </w:rPr>
              <w:t>VTMS</w:t>
            </w:r>
            <w:r w:rsidR="000C4D2C" w:rsidRPr="00CA2591">
              <w:rPr>
                <w:sz w:val="20"/>
              </w:rPr>
              <w:t>,</w:t>
            </w:r>
            <w:r w:rsidR="00ED4F93" w:rsidRPr="00CA2591">
              <w:rPr>
                <w:sz w:val="20"/>
              </w:rPr>
              <w:t xml:space="preserve"> HCl</w:t>
            </w:r>
          </w:p>
        </w:tc>
        <w:tc>
          <w:tcPr>
            <w:tcW w:w="1580" w:type="dxa"/>
            <w:tcBorders>
              <w:top w:val="single" w:sz="12" w:space="0" w:color="auto"/>
            </w:tcBorders>
          </w:tcPr>
          <w:p w:rsidR="000A1E84" w:rsidRPr="00CA2591" w:rsidRDefault="00695F25" w:rsidP="00CA2591">
            <w:pPr>
              <w:pStyle w:val="BodyText"/>
              <w:spacing w:after="0"/>
              <w:jc w:val="center"/>
              <w:rPr>
                <w:snapToGrid w:val="0"/>
                <w:sz w:val="20"/>
              </w:rPr>
            </w:pPr>
            <w:r w:rsidRPr="00CA2591">
              <w:rPr>
                <w:snapToGrid w:val="0"/>
                <w:sz w:val="20"/>
              </w:rPr>
              <w:t>X</w:t>
            </w:r>
            <w:r w:rsidR="006C2702" w:rsidRPr="00CA2591">
              <w:rPr>
                <w:snapToGrid w:val="0"/>
                <w:sz w:val="20"/>
              </w:rPr>
              <w:t>, HCl, VTMS</w:t>
            </w:r>
          </w:p>
        </w:tc>
        <w:tc>
          <w:tcPr>
            <w:tcW w:w="1679" w:type="dxa"/>
            <w:tcBorders>
              <w:top w:val="single" w:sz="12" w:space="0" w:color="auto"/>
            </w:tcBorders>
          </w:tcPr>
          <w:p w:rsidR="000A1E84" w:rsidRPr="00CA2591" w:rsidRDefault="00695F25" w:rsidP="00CA2591">
            <w:pPr>
              <w:pStyle w:val="BodyText"/>
              <w:spacing w:after="0"/>
              <w:jc w:val="center"/>
              <w:rPr>
                <w:snapToGrid w:val="0"/>
                <w:sz w:val="20"/>
                <w:highlight w:val="green"/>
              </w:rPr>
            </w:pPr>
            <w:r w:rsidRPr="00CA2591">
              <w:rPr>
                <w:snapToGrid w:val="0"/>
                <w:sz w:val="20"/>
              </w:rPr>
              <w:t>VTMS</w:t>
            </w:r>
            <w:r w:rsidR="00ED4F93" w:rsidRPr="00CA2591">
              <w:rPr>
                <w:snapToGrid w:val="0"/>
                <w:sz w:val="20"/>
              </w:rPr>
              <w:t>, DMSD, HCl</w:t>
            </w:r>
          </w:p>
        </w:tc>
      </w:tr>
      <w:tr w:rsidR="00695F25" w:rsidRPr="00D93C78" w:rsidTr="00CA2591">
        <w:trPr>
          <w:trHeight w:val="145"/>
        </w:trPr>
        <w:tc>
          <w:tcPr>
            <w:tcW w:w="1165" w:type="dxa"/>
            <w:shd w:val="clear" w:color="auto" w:fill="auto"/>
          </w:tcPr>
          <w:p w:rsidR="00695F25" w:rsidRPr="00CA2591" w:rsidRDefault="00695F25" w:rsidP="00CA2591">
            <w:pPr>
              <w:autoSpaceDE w:val="0"/>
              <w:autoSpaceDN w:val="0"/>
              <w:ind w:left="57"/>
              <w:jc w:val="center"/>
              <w:rPr>
                <w:b/>
                <w:sz w:val="20"/>
                <w:szCs w:val="20"/>
              </w:rPr>
            </w:pPr>
            <w:r w:rsidRPr="00CA2591">
              <w:rPr>
                <w:b/>
                <w:sz w:val="20"/>
                <w:szCs w:val="20"/>
              </w:rPr>
              <w:t>VTCS</w:t>
            </w:r>
          </w:p>
        </w:tc>
        <w:tc>
          <w:tcPr>
            <w:tcW w:w="1580" w:type="dxa"/>
            <w:shd w:val="clear" w:color="auto" w:fill="auto"/>
          </w:tcPr>
          <w:p w:rsidR="00695F25" w:rsidRPr="00CA2591" w:rsidRDefault="004F5FB9" w:rsidP="00CA2591">
            <w:pPr>
              <w:pStyle w:val="BodyText"/>
              <w:spacing w:after="0"/>
              <w:jc w:val="center"/>
              <w:rPr>
                <w:sz w:val="20"/>
              </w:rPr>
            </w:pPr>
            <w:r w:rsidRPr="00CA2591">
              <w:rPr>
                <w:sz w:val="20"/>
              </w:rPr>
              <w:t>MTCS</w:t>
            </w:r>
          </w:p>
        </w:tc>
        <w:tc>
          <w:tcPr>
            <w:tcW w:w="1086" w:type="dxa"/>
          </w:tcPr>
          <w:p w:rsidR="00695F25" w:rsidRPr="00CA2591" w:rsidRDefault="00695F25" w:rsidP="00CA2591">
            <w:pPr>
              <w:jc w:val="center"/>
              <w:rPr>
                <w:snapToGrid w:val="0"/>
                <w:sz w:val="20"/>
                <w:szCs w:val="20"/>
              </w:rPr>
            </w:pPr>
            <w:r w:rsidRPr="00CA2591">
              <w:rPr>
                <w:b/>
                <w:snapToGrid w:val="0"/>
                <w:sz w:val="20"/>
                <w:szCs w:val="20"/>
              </w:rPr>
              <w:t>VDCS</w:t>
            </w:r>
            <w:r w:rsidRPr="00CA2591">
              <w:rPr>
                <w:snapToGrid w:val="0"/>
                <w:sz w:val="20"/>
                <w:szCs w:val="20"/>
              </w:rPr>
              <w:t>; VTMS</w:t>
            </w:r>
          </w:p>
        </w:tc>
        <w:tc>
          <w:tcPr>
            <w:tcW w:w="1086" w:type="dxa"/>
            <w:vMerge/>
            <w:shd w:val="clear" w:color="auto" w:fill="auto"/>
          </w:tcPr>
          <w:p w:rsidR="000A1E84" w:rsidRPr="00CA2591" w:rsidRDefault="000A1E84" w:rsidP="00CA2591">
            <w:pPr>
              <w:jc w:val="center"/>
              <w:rPr>
                <w:sz w:val="20"/>
                <w:szCs w:val="20"/>
              </w:rPr>
            </w:pPr>
          </w:p>
        </w:tc>
        <w:tc>
          <w:tcPr>
            <w:tcW w:w="1383" w:type="dxa"/>
            <w:vMerge/>
            <w:shd w:val="clear" w:color="auto" w:fill="auto"/>
          </w:tcPr>
          <w:p w:rsidR="000A1E84" w:rsidRPr="00CA2591" w:rsidRDefault="000A1E84" w:rsidP="00CA2591">
            <w:pPr>
              <w:pStyle w:val="BodyText"/>
              <w:spacing w:after="0"/>
              <w:jc w:val="center"/>
              <w:rPr>
                <w:snapToGrid w:val="0"/>
                <w:sz w:val="20"/>
              </w:rPr>
            </w:pPr>
          </w:p>
        </w:tc>
        <w:tc>
          <w:tcPr>
            <w:tcW w:w="1580" w:type="dxa"/>
          </w:tcPr>
          <w:p w:rsidR="000A1E84" w:rsidRPr="00CA2591" w:rsidRDefault="006C2702" w:rsidP="00CA2591">
            <w:pPr>
              <w:pStyle w:val="BodyText"/>
              <w:spacing w:after="0"/>
              <w:jc w:val="center"/>
              <w:rPr>
                <w:snapToGrid w:val="0"/>
                <w:sz w:val="20"/>
              </w:rPr>
            </w:pPr>
            <w:r w:rsidRPr="00CA2591">
              <w:rPr>
                <w:snapToGrid w:val="0"/>
                <w:sz w:val="20"/>
              </w:rPr>
              <w:t>X, HCl</w:t>
            </w:r>
            <w:r w:rsidR="00695F25" w:rsidRPr="00CA2591">
              <w:rPr>
                <w:snapToGrid w:val="0"/>
                <w:sz w:val="20"/>
              </w:rPr>
              <w:t>, VTMS</w:t>
            </w:r>
          </w:p>
        </w:tc>
        <w:tc>
          <w:tcPr>
            <w:tcW w:w="1679" w:type="dxa"/>
          </w:tcPr>
          <w:p w:rsidR="000A1E84" w:rsidRPr="00CA2591" w:rsidRDefault="00695F25" w:rsidP="00CA2591">
            <w:pPr>
              <w:pStyle w:val="BodyText"/>
              <w:spacing w:after="0"/>
              <w:jc w:val="center"/>
              <w:rPr>
                <w:snapToGrid w:val="0"/>
                <w:sz w:val="20"/>
                <w:highlight w:val="green"/>
              </w:rPr>
            </w:pPr>
            <w:r w:rsidRPr="00CA2591">
              <w:rPr>
                <w:snapToGrid w:val="0"/>
                <w:sz w:val="20"/>
              </w:rPr>
              <w:t>VTMS</w:t>
            </w:r>
            <w:r w:rsidR="00ED4F93" w:rsidRPr="00CA2591">
              <w:rPr>
                <w:snapToGrid w:val="0"/>
                <w:sz w:val="20"/>
              </w:rPr>
              <w:t>, HCl</w:t>
            </w:r>
          </w:p>
        </w:tc>
      </w:tr>
    </w:tbl>
    <w:p w:rsidR="00DA41CB" w:rsidRPr="00CA2591" w:rsidRDefault="00740E9A" w:rsidP="00D93C78">
      <w:pPr>
        <w:jc w:val="both"/>
        <w:rPr>
          <w:sz w:val="20"/>
          <w:szCs w:val="20"/>
        </w:rPr>
      </w:pPr>
      <w:bookmarkStart w:id="31" w:name="_Toc32726016"/>
      <w:bookmarkStart w:id="32" w:name="_Toc32727199"/>
      <w:bookmarkStart w:id="33" w:name="_Toc43868645"/>
      <w:bookmarkStart w:id="34" w:name="_Toc200358233"/>
      <w:r>
        <w:rPr>
          <w:sz w:val="20"/>
          <w:szCs w:val="20"/>
        </w:rPr>
        <w:t xml:space="preserve"> </w:t>
      </w:r>
      <w:r w:rsidR="00DA41CB" w:rsidRPr="00CA2591">
        <w:rPr>
          <w:sz w:val="20"/>
          <w:szCs w:val="20"/>
        </w:rPr>
        <w:t>X= data available</w:t>
      </w:r>
    </w:p>
    <w:p w:rsidR="000274A1" w:rsidRPr="00D93C78" w:rsidRDefault="00C1433D" w:rsidP="00405A21">
      <w:pPr>
        <w:pStyle w:val="Heading1"/>
        <w:numPr>
          <w:ilvl w:val="0"/>
          <w:numId w:val="4"/>
        </w:numPr>
        <w:tabs>
          <w:tab w:val="clear" w:pos="1077"/>
        </w:tabs>
        <w:ind w:left="839" w:hanging="839"/>
        <w:jc w:val="both"/>
        <w:rPr>
          <w:rFonts w:ascii="Times New Roman" w:hAnsi="Times New Roman"/>
          <w:szCs w:val="24"/>
        </w:rPr>
      </w:pPr>
      <w:bookmarkStart w:id="35" w:name="_Toc310335174"/>
      <w:r w:rsidRPr="00D93C78">
        <w:rPr>
          <w:rFonts w:ascii="Times New Roman" w:hAnsi="Times New Roman"/>
          <w:szCs w:val="24"/>
        </w:rPr>
        <w:t>general information on exposure</w:t>
      </w:r>
      <w:bookmarkEnd w:id="31"/>
      <w:bookmarkEnd w:id="32"/>
      <w:bookmarkEnd w:id="33"/>
      <w:bookmarkEnd w:id="34"/>
      <w:bookmarkEnd w:id="35"/>
    </w:p>
    <w:p w:rsidR="00C1433D" w:rsidRPr="00D93C78" w:rsidRDefault="006212DF" w:rsidP="00D93C78">
      <w:pPr>
        <w:jc w:val="both"/>
      </w:pPr>
      <w:r w:rsidRPr="00D93C78">
        <w:t xml:space="preserve">The </w:t>
      </w:r>
      <w:r w:rsidR="00DC2DEA" w:rsidRPr="00D93C78">
        <w:t>vinyl</w:t>
      </w:r>
      <w:r w:rsidR="00413FFD" w:rsidRPr="00D93C78">
        <w:t xml:space="preserve"> chlorosilanes</w:t>
      </w:r>
      <w:r w:rsidR="004D17E7" w:rsidRPr="00D93C78">
        <w:t xml:space="preserve"> </w:t>
      </w:r>
      <w:r w:rsidR="00C1433D" w:rsidRPr="00D93C78">
        <w:t>react rapidly when exposed to moisture or polar reagents, producing hydrogen chloride (HCl; CAS No. 7647-01-0) and silanols (siloxane oligomers and polymers) (Bayer et al. 1991, Bazant et al. 1965, Noll</w:t>
      </w:r>
      <w:r w:rsidR="00F7082A" w:rsidRPr="00D93C78">
        <w:t>,</w:t>
      </w:r>
      <w:r w:rsidR="00C1433D" w:rsidRPr="00D93C78">
        <w:t xml:space="preserve"> 1968, and Tomanek</w:t>
      </w:r>
      <w:r w:rsidR="00F7082A" w:rsidRPr="00D93C78">
        <w:t>,</w:t>
      </w:r>
      <w:r w:rsidR="00C1433D" w:rsidRPr="00D93C78">
        <w:t xml:space="preserve"> 1990).  This reaction is normally heterogeneous, highly exothermic, and potentially difficult to control, requiring close control of the reaction.  </w:t>
      </w:r>
      <w:r w:rsidR="00C1433D" w:rsidRPr="00D93C78">
        <w:rPr>
          <w:bCs/>
        </w:rPr>
        <w:t>To prevent the rapid hydrolysis and subsequent loss of material</w:t>
      </w:r>
      <w:r w:rsidR="00C1433D" w:rsidRPr="00D93C78">
        <w:t xml:space="preserve"> or exposure of the reactants to atmospheric moisture, </w:t>
      </w:r>
      <w:r w:rsidR="00C1433D" w:rsidRPr="00D93C78">
        <w:rPr>
          <w:bCs/>
        </w:rPr>
        <w:t>chlorosilanes are handled in closed pipes or containers</w:t>
      </w:r>
      <w:r w:rsidR="00C1433D" w:rsidRPr="00D93C78">
        <w:t xml:space="preserve">.  An essential component is the reactor jacket and/or internal coils containing a heat-transfer fluid, which is also used for initial heating of the bed.  This system allows recovery of the reaction heat via steam, and greatly limits environmental exposure. </w:t>
      </w:r>
      <w:r w:rsidR="00276B1D" w:rsidRPr="00D93C78">
        <w:t>C</w:t>
      </w:r>
      <w:r w:rsidR="00C1433D" w:rsidRPr="00D93C78">
        <w:t xml:space="preserve">hlorosilanes are handled in closed systems as once they are exposed to moisture through accidental release they no longer have commercial value.  Exposure to chlorosilanes is not expected under normal use conditions for this reason.  If there is an accidental release the relevant routes of exposure are inhalation and dermal.  </w:t>
      </w:r>
    </w:p>
    <w:p w:rsidR="00C1433D" w:rsidRPr="00D93C78" w:rsidRDefault="00C1433D" w:rsidP="00D93C78">
      <w:pPr>
        <w:jc w:val="both"/>
      </w:pPr>
    </w:p>
    <w:p w:rsidR="00C1433D" w:rsidRPr="00D93C78" w:rsidRDefault="00C1433D" w:rsidP="00D93C78">
      <w:pPr>
        <w:jc w:val="both"/>
      </w:pPr>
      <w:r w:rsidRPr="00D93C78">
        <w:t>The silicone industry has a long history of safe transportation of chlorosilanes.  They are transported in rail cars or cargo tanks in accordance with U.S. Department of Transportation (U.S. DOT) Hazardous Materials Transportation Regulations  (49 CFR 171-180).  These regulations specify acceptable modes of transport, hazard placarding, container types and construction and handling practices.  U.S. DOT classifies chlorosilanes as Hazard Class 8, UN1760.  This classification requires “corrosive” labeling and packaging in United Nations (U.N.) certified containers.  Such containers meet rigorous performance standards as agreed to by the International Transportation Community.  The SEHSC prepared an ASTM manual (ASTM Stock #: MN L33), “Chlorosilane Emergency Response Guidelines,” and continues working with U.S. DOT, international transportation bodies, and chlorosilane producers to ensure the safe transportation of chlorosilanes.</w:t>
      </w:r>
    </w:p>
    <w:p w:rsidR="000274A1" w:rsidRPr="00D93C78" w:rsidRDefault="00C1433D" w:rsidP="00405A21">
      <w:pPr>
        <w:pStyle w:val="Heading2"/>
        <w:numPr>
          <w:ilvl w:val="1"/>
          <w:numId w:val="4"/>
        </w:numPr>
        <w:tabs>
          <w:tab w:val="clear" w:pos="1077"/>
        </w:tabs>
        <w:ind w:left="839" w:hanging="839"/>
        <w:rPr>
          <w:rFonts w:ascii="Times New Roman" w:hAnsi="Times New Roman"/>
          <w:szCs w:val="24"/>
        </w:rPr>
      </w:pPr>
      <w:bookmarkStart w:id="36" w:name="_Toc43868646"/>
      <w:bookmarkStart w:id="37" w:name="_Toc200358234"/>
      <w:bookmarkStart w:id="38" w:name="_Toc310335175"/>
      <w:r w:rsidRPr="00D93C78">
        <w:rPr>
          <w:rFonts w:ascii="Times New Roman" w:hAnsi="Times New Roman"/>
          <w:szCs w:val="24"/>
        </w:rPr>
        <w:t>Production Volumes and Use Pattern</w:t>
      </w:r>
      <w:bookmarkEnd w:id="36"/>
      <w:bookmarkEnd w:id="37"/>
      <w:bookmarkEnd w:id="38"/>
    </w:p>
    <w:p w:rsidR="0038641E" w:rsidRPr="00D93C78" w:rsidRDefault="0038641E" w:rsidP="00D93C78">
      <w:pPr>
        <w:pStyle w:val="BodyText"/>
        <w:spacing w:before="120"/>
        <w:ind w:left="72" w:right="74"/>
        <w:rPr>
          <w:szCs w:val="24"/>
        </w:rPr>
      </w:pPr>
      <w:r w:rsidRPr="00D93C78">
        <w:rPr>
          <w:i/>
          <w:color w:val="000000"/>
          <w:szCs w:val="24"/>
        </w:rPr>
        <w:t>Production Volumes</w:t>
      </w:r>
    </w:p>
    <w:p w:rsidR="0038641E" w:rsidRPr="00D93C78" w:rsidRDefault="0038641E" w:rsidP="00D93C78">
      <w:pPr>
        <w:pStyle w:val="BodyText"/>
        <w:spacing w:before="120"/>
        <w:ind w:left="72" w:right="74"/>
        <w:rPr>
          <w:szCs w:val="24"/>
          <w:highlight w:val="yellow"/>
        </w:rPr>
      </w:pPr>
      <w:r w:rsidRPr="00D93C78">
        <w:rPr>
          <w:szCs w:val="24"/>
        </w:rPr>
        <w:t xml:space="preserve">Production volumes are summarized in Table </w:t>
      </w:r>
      <w:r w:rsidR="00EF1F1D" w:rsidRPr="00D93C78">
        <w:rPr>
          <w:szCs w:val="24"/>
        </w:rPr>
        <w:t>5</w:t>
      </w:r>
      <w:r w:rsidRPr="00D93C78">
        <w:rPr>
          <w:szCs w:val="24"/>
        </w:rPr>
        <w:t xml:space="preserve"> (Guerrero, 2012).  Ranges are provided in order to protect confidential business information.</w:t>
      </w:r>
    </w:p>
    <w:p w:rsidR="0038641E" w:rsidRPr="00D93C78" w:rsidRDefault="00740E9A" w:rsidP="004204A4">
      <w:pPr>
        <w:pStyle w:val="Caption"/>
        <w:ind w:hanging="839"/>
        <w:jc w:val="both"/>
        <w:rPr>
          <w:rFonts w:ascii="Times New Roman" w:hAnsi="Times New Roman"/>
          <w:szCs w:val="24"/>
        </w:rPr>
      </w:pPr>
      <w:r>
        <w:rPr>
          <w:rFonts w:ascii="Times New Roman" w:hAnsi="Times New Roman"/>
          <w:szCs w:val="24"/>
        </w:rPr>
        <w:t xml:space="preserve"> </w:t>
      </w:r>
      <w:r w:rsidR="0038641E" w:rsidRPr="00D93C78">
        <w:rPr>
          <w:rFonts w:ascii="Times New Roman" w:hAnsi="Times New Roman"/>
          <w:szCs w:val="24"/>
        </w:rPr>
        <w:t xml:space="preserve">Table </w:t>
      </w:r>
      <w:r w:rsidR="00EF1F1D" w:rsidRPr="00D93C78">
        <w:rPr>
          <w:rFonts w:ascii="Times New Roman" w:hAnsi="Times New Roman"/>
          <w:szCs w:val="24"/>
        </w:rPr>
        <w:t>5</w:t>
      </w:r>
      <w:r w:rsidR="0038641E" w:rsidRPr="00D93C78">
        <w:rPr>
          <w:rFonts w:ascii="Times New Roman" w:hAnsi="Times New Roman"/>
          <w:szCs w:val="24"/>
        </w:rPr>
        <w:t>.</w:t>
      </w:r>
      <w:r w:rsidR="004204A4">
        <w:rPr>
          <w:rFonts w:ascii="Times New Roman" w:hAnsi="Times New Roman"/>
          <w:szCs w:val="24"/>
        </w:rPr>
        <w:t xml:space="preserve">    </w:t>
      </w:r>
      <w:r w:rsidR="0038641E" w:rsidRPr="00D93C78">
        <w:rPr>
          <w:rFonts w:ascii="Times New Roman" w:hAnsi="Times New Roman"/>
          <w:szCs w:val="24"/>
        </w:rPr>
        <w:t xml:space="preserve"> Production Volumes </w:t>
      </w:r>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FFFFFF" w:themeFill="background1"/>
        <w:tblLayout w:type="fixed"/>
        <w:tblLook w:val="0000" w:firstRow="0" w:lastRow="0" w:firstColumn="0" w:lastColumn="0" w:noHBand="0" w:noVBand="0"/>
      </w:tblPr>
      <w:tblGrid>
        <w:gridCol w:w="1817"/>
        <w:gridCol w:w="2551"/>
        <w:gridCol w:w="2783"/>
        <w:gridCol w:w="2408"/>
      </w:tblGrid>
      <w:tr w:rsidR="0038641E" w:rsidRPr="00D93C78" w:rsidTr="00D22FE6">
        <w:trPr>
          <w:trHeight w:val="1154"/>
        </w:trPr>
        <w:tc>
          <w:tcPr>
            <w:tcW w:w="1411" w:type="dxa"/>
            <w:tcBorders>
              <w:top w:val="single" w:sz="12" w:space="0" w:color="auto"/>
              <w:bottom w:val="single" w:sz="12" w:space="0" w:color="auto"/>
            </w:tcBorders>
            <w:shd w:val="clear" w:color="auto" w:fill="FFFFFF" w:themeFill="background1"/>
            <w:vAlign w:val="center"/>
          </w:tcPr>
          <w:p w:rsidR="0038641E" w:rsidRPr="004204A4" w:rsidRDefault="0038641E" w:rsidP="004204A4">
            <w:pPr>
              <w:pStyle w:val="Tabletext"/>
              <w:jc w:val="center"/>
              <w:rPr>
                <w:b/>
              </w:rPr>
            </w:pPr>
            <w:bookmarkStart w:id="39" w:name="_GoBack"/>
            <w:r w:rsidRPr="004204A4">
              <w:rPr>
                <w:b/>
              </w:rPr>
              <w:t>Substance</w:t>
            </w:r>
          </w:p>
        </w:tc>
        <w:tc>
          <w:tcPr>
            <w:tcW w:w="1980" w:type="dxa"/>
            <w:tcBorders>
              <w:top w:val="single" w:sz="12" w:space="0" w:color="auto"/>
              <w:bottom w:val="single" w:sz="12" w:space="0" w:color="auto"/>
            </w:tcBorders>
            <w:shd w:val="clear" w:color="auto" w:fill="FFFFFF" w:themeFill="background1"/>
            <w:tcMar>
              <w:left w:w="115" w:type="dxa"/>
              <w:right w:w="158" w:type="dxa"/>
            </w:tcMar>
          </w:tcPr>
          <w:p w:rsidR="0038641E" w:rsidRPr="004204A4" w:rsidRDefault="0038641E" w:rsidP="004204A4">
            <w:pPr>
              <w:pStyle w:val="Tabletext"/>
              <w:jc w:val="center"/>
              <w:rPr>
                <w:b/>
                <w:color w:val="000000"/>
              </w:rPr>
            </w:pPr>
            <w:r w:rsidRPr="004204A4">
              <w:rPr>
                <w:b/>
                <w:color w:val="000000"/>
              </w:rPr>
              <w:t>Estimated United States 2010 Production (metric tonnes)</w:t>
            </w:r>
          </w:p>
        </w:tc>
        <w:tc>
          <w:tcPr>
            <w:tcW w:w="2160" w:type="dxa"/>
            <w:tcBorders>
              <w:top w:val="single" w:sz="12" w:space="0" w:color="auto"/>
              <w:bottom w:val="single" w:sz="12" w:space="0" w:color="auto"/>
            </w:tcBorders>
            <w:shd w:val="clear" w:color="auto" w:fill="FFFFFF" w:themeFill="background1"/>
            <w:tcMar>
              <w:left w:w="115" w:type="dxa"/>
              <w:right w:w="158" w:type="dxa"/>
            </w:tcMar>
          </w:tcPr>
          <w:p w:rsidR="0038641E" w:rsidRPr="004204A4" w:rsidRDefault="0038641E" w:rsidP="004204A4">
            <w:pPr>
              <w:pStyle w:val="Tabletext"/>
              <w:jc w:val="center"/>
              <w:rPr>
                <w:b/>
                <w:color w:val="000000"/>
              </w:rPr>
            </w:pPr>
            <w:r w:rsidRPr="004204A4">
              <w:rPr>
                <w:b/>
                <w:color w:val="000000"/>
              </w:rPr>
              <w:t>Estimated European 2010 production (metric tonnes)</w:t>
            </w:r>
          </w:p>
        </w:tc>
        <w:tc>
          <w:tcPr>
            <w:tcW w:w="1869" w:type="dxa"/>
            <w:tcBorders>
              <w:top w:val="single" w:sz="12" w:space="0" w:color="auto"/>
              <w:bottom w:val="single" w:sz="12" w:space="0" w:color="auto"/>
            </w:tcBorders>
            <w:shd w:val="clear" w:color="auto" w:fill="FFFFFF" w:themeFill="background1"/>
          </w:tcPr>
          <w:p w:rsidR="0038641E" w:rsidRPr="004204A4" w:rsidRDefault="0038641E" w:rsidP="004204A4">
            <w:pPr>
              <w:pStyle w:val="Tabletext"/>
              <w:jc w:val="center"/>
              <w:rPr>
                <w:b/>
                <w:color w:val="000000"/>
              </w:rPr>
            </w:pPr>
            <w:r w:rsidRPr="004204A4">
              <w:rPr>
                <w:b/>
                <w:color w:val="000000"/>
              </w:rPr>
              <w:t>Estimated Japanese 2010 production (metric tonnes)</w:t>
            </w:r>
          </w:p>
        </w:tc>
      </w:tr>
      <w:tr w:rsidR="0038641E" w:rsidRPr="00D93C78" w:rsidTr="00D22FE6">
        <w:tc>
          <w:tcPr>
            <w:tcW w:w="1411" w:type="dxa"/>
            <w:tcBorders>
              <w:top w:val="single" w:sz="12" w:space="0" w:color="auto"/>
            </w:tcBorders>
            <w:shd w:val="clear" w:color="auto" w:fill="FFFFFF" w:themeFill="background1"/>
            <w:vAlign w:val="center"/>
          </w:tcPr>
          <w:p w:rsidR="0038641E" w:rsidRPr="004204A4" w:rsidRDefault="0038641E" w:rsidP="004204A4">
            <w:pPr>
              <w:pStyle w:val="Tabletext"/>
              <w:jc w:val="center"/>
              <w:rPr>
                <w:b/>
              </w:rPr>
            </w:pPr>
            <w:r w:rsidRPr="004204A4">
              <w:rPr>
                <w:b/>
              </w:rPr>
              <w:t>VDCS</w:t>
            </w:r>
          </w:p>
        </w:tc>
        <w:tc>
          <w:tcPr>
            <w:tcW w:w="1980" w:type="dxa"/>
            <w:tcBorders>
              <w:top w:val="single" w:sz="12" w:space="0" w:color="auto"/>
            </w:tcBorders>
            <w:shd w:val="clear" w:color="auto" w:fill="FFFFFF" w:themeFill="background1"/>
            <w:tcMar>
              <w:left w:w="115" w:type="dxa"/>
              <w:right w:w="158" w:type="dxa"/>
            </w:tcMar>
            <w:vAlign w:val="center"/>
          </w:tcPr>
          <w:p w:rsidR="0038641E" w:rsidRPr="004204A4" w:rsidRDefault="0038641E" w:rsidP="004204A4">
            <w:pPr>
              <w:pStyle w:val="Tabletext"/>
              <w:jc w:val="center"/>
              <w:rPr>
                <w:color w:val="000000"/>
              </w:rPr>
            </w:pPr>
            <w:r w:rsidRPr="004204A4">
              <w:t>454 – 4536</w:t>
            </w:r>
          </w:p>
        </w:tc>
        <w:tc>
          <w:tcPr>
            <w:tcW w:w="2160" w:type="dxa"/>
            <w:tcBorders>
              <w:top w:val="single" w:sz="12" w:space="0" w:color="auto"/>
            </w:tcBorders>
            <w:shd w:val="clear" w:color="auto" w:fill="FFFFFF" w:themeFill="background1"/>
            <w:tcMar>
              <w:left w:w="115" w:type="dxa"/>
              <w:right w:w="158" w:type="dxa"/>
            </w:tcMar>
            <w:vAlign w:val="center"/>
          </w:tcPr>
          <w:p w:rsidR="0038641E" w:rsidRPr="004204A4" w:rsidRDefault="0038641E" w:rsidP="004204A4">
            <w:pPr>
              <w:pStyle w:val="Tabletext"/>
              <w:jc w:val="center"/>
            </w:pPr>
            <w:r w:rsidRPr="004204A4">
              <w:t>45 – 907</w:t>
            </w:r>
          </w:p>
        </w:tc>
        <w:tc>
          <w:tcPr>
            <w:tcW w:w="1869" w:type="dxa"/>
            <w:tcBorders>
              <w:top w:val="single" w:sz="12" w:space="0" w:color="auto"/>
            </w:tcBorders>
            <w:shd w:val="clear" w:color="auto" w:fill="FFFFFF" w:themeFill="background1"/>
            <w:vAlign w:val="center"/>
          </w:tcPr>
          <w:p w:rsidR="0038641E" w:rsidRPr="004204A4" w:rsidRDefault="0038641E" w:rsidP="004204A4">
            <w:pPr>
              <w:jc w:val="center"/>
              <w:rPr>
                <w:sz w:val="20"/>
                <w:szCs w:val="20"/>
              </w:rPr>
            </w:pPr>
            <w:r w:rsidRPr="004204A4">
              <w:rPr>
                <w:sz w:val="20"/>
                <w:szCs w:val="20"/>
              </w:rPr>
              <w:t>454 – 4536</w:t>
            </w:r>
          </w:p>
        </w:tc>
      </w:tr>
      <w:tr w:rsidR="0038641E" w:rsidRPr="00D93C78" w:rsidTr="00D22FE6">
        <w:tc>
          <w:tcPr>
            <w:tcW w:w="1411" w:type="dxa"/>
            <w:tcBorders>
              <w:bottom w:val="single" w:sz="12" w:space="0" w:color="auto"/>
            </w:tcBorders>
            <w:shd w:val="clear" w:color="auto" w:fill="FFFFFF" w:themeFill="background1"/>
            <w:vAlign w:val="center"/>
          </w:tcPr>
          <w:p w:rsidR="0038641E" w:rsidRPr="004204A4" w:rsidRDefault="0038641E" w:rsidP="004204A4">
            <w:pPr>
              <w:pStyle w:val="Tabletext"/>
              <w:autoSpaceDE w:val="0"/>
              <w:autoSpaceDN w:val="0"/>
              <w:ind w:left="57"/>
              <w:jc w:val="center"/>
              <w:rPr>
                <w:b/>
              </w:rPr>
            </w:pPr>
            <w:r w:rsidRPr="004204A4">
              <w:rPr>
                <w:b/>
              </w:rPr>
              <w:t>VTCS</w:t>
            </w:r>
          </w:p>
        </w:tc>
        <w:tc>
          <w:tcPr>
            <w:tcW w:w="1980" w:type="dxa"/>
            <w:tcBorders>
              <w:bottom w:val="single" w:sz="12" w:space="0" w:color="auto"/>
            </w:tcBorders>
            <w:shd w:val="clear" w:color="auto" w:fill="FFFFFF" w:themeFill="background1"/>
            <w:tcMar>
              <w:left w:w="115" w:type="dxa"/>
              <w:right w:w="158" w:type="dxa"/>
            </w:tcMar>
            <w:vAlign w:val="center"/>
          </w:tcPr>
          <w:p w:rsidR="0038641E" w:rsidRPr="004204A4" w:rsidRDefault="0038641E" w:rsidP="004204A4">
            <w:pPr>
              <w:pStyle w:val="Tabletext"/>
              <w:jc w:val="center"/>
              <w:rPr>
                <w:color w:val="000000"/>
              </w:rPr>
            </w:pPr>
            <w:r w:rsidRPr="004204A4">
              <w:rPr>
                <w:color w:val="000000"/>
              </w:rPr>
              <w:t>454 – 4536</w:t>
            </w:r>
          </w:p>
        </w:tc>
        <w:tc>
          <w:tcPr>
            <w:tcW w:w="2160" w:type="dxa"/>
            <w:tcBorders>
              <w:bottom w:val="single" w:sz="12" w:space="0" w:color="auto"/>
            </w:tcBorders>
            <w:shd w:val="clear" w:color="auto" w:fill="FFFFFF" w:themeFill="background1"/>
            <w:tcMar>
              <w:left w:w="115" w:type="dxa"/>
              <w:right w:w="158" w:type="dxa"/>
            </w:tcMar>
            <w:vAlign w:val="center"/>
          </w:tcPr>
          <w:p w:rsidR="0038641E" w:rsidRPr="004204A4" w:rsidRDefault="0038641E" w:rsidP="004204A4">
            <w:pPr>
              <w:pStyle w:val="Tabletext"/>
              <w:jc w:val="center"/>
            </w:pPr>
            <w:r w:rsidRPr="004204A4">
              <w:t>0</w:t>
            </w:r>
          </w:p>
        </w:tc>
        <w:tc>
          <w:tcPr>
            <w:tcW w:w="1869" w:type="dxa"/>
            <w:tcBorders>
              <w:bottom w:val="single" w:sz="12" w:space="0" w:color="auto"/>
            </w:tcBorders>
            <w:shd w:val="clear" w:color="auto" w:fill="FFFFFF" w:themeFill="background1"/>
            <w:vAlign w:val="center"/>
          </w:tcPr>
          <w:p w:rsidR="0038641E" w:rsidRPr="004204A4" w:rsidRDefault="0038641E" w:rsidP="004204A4">
            <w:pPr>
              <w:jc w:val="center"/>
              <w:rPr>
                <w:sz w:val="20"/>
                <w:szCs w:val="20"/>
              </w:rPr>
            </w:pPr>
            <w:r w:rsidRPr="004204A4">
              <w:rPr>
                <w:sz w:val="20"/>
                <w:szCs w:val="20"/>
              </w:rPr>
              <w:t>0</w:t>
            </w:r>
          </w:p>
        </w:tc>
      </w:tr>
    </w:tbl>
    <w:bookmarkEnd w:id="39"/>
    <w:p w:rsidR="001A2ECD" w:rsidRPr="00D93C78" w:rsidRDefault="001A2ECD" w:rsidP="00D93C78">
      <w:pPr>
        <w:pStyle w:val="BodyText"/>
        <w:spacing w:before="120"/>
        <w:ind w:left="72" w:right="74"/>
        <w:rPr>
          <w:i/>
          <w:szCs w:val="24"/>
        </w:rPr>
      </w:pPr>
      <w:r w:rsidRPr="00D93C78">
        <w:rPr>
          <w:i/>
          <w:szCs w:val="24"/>
        </w:rPr>
        <w:t xml:space="preserve">Use Pattern </w:t>
      </w:r>
    </w:p>
    <w:p w:rsidR="001A2ECD" w:rsidRPr="00D93C78" w:rsidRDefault="00C1433D" w:rsidP="00D93C78">
      <w:pPr>
        <w:pStyle w:val="BodyText"/>
        <w:spacing w:before="120"/>
        <w:ind w:left="72" w:right="74"/>
        <w:rPr>
          <w:szCs w:val="24"/>
        </w:rPr>
      </w:pPr>
      <w:r w:rsidRPr="00D93C78">
        <w:rPr>
          <w:szCs w:val="24"/>
        </w:rPr>
        <w:t xml:space="preserve">100% of </w:t>
      </w:r>
      <w:r w:rsidR="00DC2DEA" w:rsidRPr="00D93C78">
        <w:rPr>
          <w:szCs w:val="24"/>
        </w:rPr>
        <w:t>the vinyl chlorosilanes</w:t>
      </w:r>
      <w:r w:rsidRPr="00D93C78">
        <w:rPr>
          <w:szCs w:val="24"/>
        </w:rPr>
        <w:t xml:space="preserve">, by volume, </w:t>
      </w:r>
      <w:r w:rsidR="00DC2DEA" w:rsidRPr="00D93C78">
        <w:rPr>
          <w:szCs w:val="24"/>
        </w:rPr>
        <w:t>are</w:t>
      </w:r>
      <w:r w:rsidRPr="00D93C78">
        <w:rPr>
          <w:szCs w:val="24"/>
        </w:rPr>
        <w:t xml:space="preserve"> used as intermediates in the manufacture of commercial </w:t>
      </w:r>
      <w:r w:rsidR="00F0220E" w:rsidRPr="00D93C78">
        <w:rPr>
          <w:szCs w:val="24"/>
        </w:rPr>
        <w:t xml:space="preserve">organosiloxanes.  </w:t>
      </w:r>
      <w:r w:rsidR="00DC2DEA" w:rsidRPr="00D93C78">
        <w:rPr>
          <w:szCs w:val="24"/>
        </w:rPr>
        <w:t>The vinyl chlorosilanes are</w:t>
      </w:r>
      <w:r w:rsidRPr="00D93C78">
        <w:rPr>
          <w:szCs w:val="24"/>
        </w:rPr>
        <w:t xml:space="preserve"> </w:t>
      </w:r>
      <w:r w:rsidR="006A229B" w:rsidRPr="00D93C78">
        <w:rPr>
          <w:szCs w:val="24"/>
        </w:rPr>
        <w:t>reacted during use and lose their chemical identities</w:t>
      </w:r>
      <w:r w:rsidRPr="00D93C78">
        <w:rPr>
          <w:szCs w:val="24"/>
        </w:rPr>
        <w:t xml:space="preserve"> (Guerrero, 201</w:t>
      </w:r>
      <w:r w:rsidR="00DC2DEA" w:rsidRPr="00D93C78">
        <w:rPr>
          <w:szCs w:val="24"/>
        </w:rPr>
        <w:t>1</w:t>
      </w:r>
      <w:r w:rsidRPr="00D93C78">
        <w:rPr>
          <w:szCs w:val="24"/>
        </w:rPr>
        <w:t xml:space="preserve">).  </w:t>
      </w:r>
    </w:p>
    <w:p w:rsidR="000274A1" w:rsidRPr="00D93C78" w:rsidRDefault="00C1433D" w:rsidP="00405A21">
      <w:pPr>
        <w:pStyle w:val="Heading2"/>
        <w:numPr>
          <w:ilvl w:val="1"/>
          <w:numId w:val="4"/>
        </w:numPr>
        <w:tabs>
          <w:tab w:val="clear" w:pos="1077"/>
        </w:tabs>
        <w:ind w:left="839" w:hanging="839"/>
        <w:rPr>
          <w:rFonts w:ascii="Times New Roman" w:hAnsi="Times New Roman"/>
          <w:szCs w:val="24"/>
        </w:rPr>
      </w:pPr>
      <w:bookmarkStart w:id="40" w:name="_Toc32726017"/>
      <w:bookmarkStart w:id="41" w:name="_Toc32727200"/>
      <w:bookmarkStart w:id="42" w:name="_Toc43868647"/>
      <w:bookmarkStart w:id="43" w:name="_Toc200358235"/>
      <w:bookmarkStart w:id="44" w:name="_Toc310335176"/>
      <w:r w:rsidRPr="00D93C78">
        <w:rPr>
          <w:rFonts w:ascii="Times New Roman" w:hAnsi="Times New Roman"/>
          <w:szCs w:val="24"/>
        </w:rPr>
        <w:t>Environmental Release and Fate</w:t>
      </w:r>
      <w:bookmarkEnd w:id="40"/>
      <w:bookmarkEnd w:id="41"/>
      <w:bookmarkEnd w:id="42"/>
      <w:bookmarkEnd w:id="43"/>
      <w:bookmarkEnd w:id="44"/>
    </w:p>
    <w:p w:rsidR="005728C8" w:rsidRPr="00D93C78" w:rsidRDefault="004E537F" w:rsidP="00D93C78">
      <w:pPr>
        <w:jc w:val="both"/>
      </w:pPr>
      <w:r w:rsidRPr="00D93C78">
        <w:t xml:space="preserve">Not all programs within EPI Suite have been validated for chemicals that contain the element Si, but recent upgrades to the Kow module, found in the current version of EPI Suite (v4.10), may improve estimates for silanes and siloxanes for this endpoint. However, there is still uncertainty associated with the calculated values and they should be used with caution whenever they are reported. </w:t>
      </w:r>
    </w:p>
    <w:p w:rsidR="005728C8" w:rsidRPr="00D93C78" w:rsidRDefault="005728C8" w:rsidP="00D93C78">
      <w:pPr>
        <w:jc w:val="both"/>
      </w:pPr>
    </w:p>
    <w:p w:rsidR="00C1433D" w:rsidRPr="00D93C78" w:rsidRDefault="004E537F" w:rsidP="00D93C78">
      <w:pPr>
        <w:jc w:val="both"/>
      </w:pPr>
      <w:r w:rsidRPr="00D93C78">
        <w:t xml:space="preserve">The chlorine group is the most active functional group on these molecules and determines many aspects of the </w:t>
      </w:r>
      <w:r w:rsidR="004F5FB9" w:rsidRPr="00D93C78">
        <w:t>behavior</w:t>
      </w:r>
      <w:r w:rsidRPr="00D93C78">
        <w:t xml:space="preserve"> of the category members.</w:t>
      </w:r>
      <w:r w:rsidR="005728C8" w:rsidRPr="00D93C78">
        <w:t xml:space="preserve">  The vinyl chlorosilanes are expected undergo rapid hydrolysis in the presence of water to form two or three moles of HCl and one mole of silanediol or silanetriol, depending on the parent substance.  Hydrolysis is the primary reaction in aqueous systems. </w:t>
      </w:r>
      <w:r w:rsidRPr="00D93C78">
        <w:t xml:space="preserve">  </w:t>
      </w:r>
    </w:p>
    <w:p w:rsidR="000274A1" w:rsidRPr="00D93C78" w:rsidRDefault="00C1433D" w:rsidP="00405A21">
      <w:pPr>
        <w:pStyle w:val="Heading3"/>
        <w:numPr>
          <w:ilvl w:val="2"/>
          <w:numId w:val="4"/>
        </w:numPr>
        <w:tabs>
          <w:tab w:val="clear" w:pos="1077"/>
          <w:tab w:val="clear" w:pos="2160"/>
        </w:tabs>
        <w:ind w:left="839" w:hanging="839"/>
        <w:jc w:val="both"/>
        <w:rPr>
          <w:rFonts w:ascii="Times New Roman" w:hAnsi="Times New Roman"/>
          <w:szCs w:val="24"/>
        </w:rPr>
      </w:pPr>
      <w:bookmarkStart w:id="45" w:name="_Toc43868648"/>
      <w:bookmarkStart w:id="46" w:name="_Toc200358236"/>
      <w:bookmarkStart w:id="47" w:name="_Toc310335177"/>
      <w:r w:rsidRPr="00D93C78">
        <w:rPr>
          <w:rFonts w:ascii="Times New Roman" w:hAnsi="Times New Roman"/>
          <w:szCs w:val="24"/>
        </w:rPr>
        <w:t xml:space="preserve">Sources of Environmental </w:t>
      </w:r>
      <w:bookmarkEnd w:id="45"/>
      <w:bookmarkEnd w:id="46"/>
      <w:r w:rsidRPr="00D93C78">
        <w:rPr>
          <w:rFonts w:ascii="Times New Roman" w:hAnsi="Times New Roman"/>
          <w:szCs w:val="24"/>
        </w:rPr>
        <w:t>Release</w:t>
      </w:r>
      <w:bookmarkEnd w:id="47"/>
    </w:p>
    <w:p w:rsidR="00C1433D" w:rsidRPr="00D93C78" w:rsidRDefault="001A01ED" w:rsidP="00D93C78">
      <w:pPr>
        <w:pStyle w:val="BodyText"/>
        <w:rPr>
          <w:szCs w:val="24"/>
        </w:rPr>
      </w:pPr>
      <w:r w:rsidRPr="00D93C78">
        <w:rPr>
          <w:szCs w:val="24"/>
        </w:rPr>
        <w:t xml:space="preserve">The </w:t>
      </w:r>
      <w:r w:rsidR="00AD61CD" w:rsidRPr="00D93C78">
        <w:rPr>
          <w:szCs w:val="24"/>
        </w:rPr>
        <w:t>vinyl</w:t>
      </w:r>
      <w:r w:rsidR="00413FFD" w:rsidRPr="00D93C78">
        <w:rPr>
          <w:szCs w:val="24"/>
        </w:rPr>
        <w:t xml:space="preserve"> chlorosilanes</w:t>
      </w:r>
      <w:r w:rsidR="00C54AD4" w:rsidRPr="00D93C78">
        <w:rPr>
          <w:szCs w:val="24"/>
        </w:rPr>
        <w:t xml:space="preserve"> </w:t>
      </w:r>
      <w:r w:rsidRPr="00D93C78">
        <w:rPr>
          <w:szCs w:val="24"/>
        </w:rPr>
        <w:t>are</w:t>
      </w:r>
      <w:r w:rsidR="00C1433D" w:rsidRPr="00D93C78">
        <w:rPr>
          <w:szCs w:val="24"/>
        </w:rPr>
        <w:t xml:space="preserve"> </w:t>
      </w:r>
      <w:r w:rsidR="006A229B" w:rsidRPr="00D93C78">
        <w:rPr>
          <w:szCs w:val="24"/>
        </w:rPr>
        <w:t>produced and processed</w:t>
      </w:r>
      <w:r w:rsidR="00C1433D" w:rsidRPr="00D93C78">
        <w:rPr>
          <w:szCs w:val="24"/>
        </w:rPr>
        <w:t xml:space="preserve"> in closed systems. There are no intentional releases to the environment from manufacturing processes</w:t>
      </w:r>
      <w:r w:rsidR="006A229B" w:rsidRPr="00D93C78">
        <w:rPr>
          <w:szCs w:val="24"/>
        </w:rPr>
        <w:t xml:space="preserve"> among the companies that are sponsoring this case</w:t>
      </w:r>
      <w:r w:rsidR="00C1433D" w:rsidRPr="00D93C78">
        <w:rPr>
          <w:szCs w:val="24"/>
        </w:rPr>
        <w:t xml:space="preserve">.  </w:t>
      </w:r>
    </w:p>
    <w:p w:rsidR="00C1433D" w:rsidRPr="00D93C78" w:rsidRDefault="001A01ED" w:rsidP="00D93C78">
      <w:pPr>
        <w:pStyle w:val="BodyText"/>
        <w:rPr>
          <w:b/>
          <w:bCs/>
          <w:szCs w:val="24"/>
        </w:rPr>
      </w:pPr>
      <w:r w:rsidRPr="00D93C78">
        <w:rPr>
          <w:szCs w:val="24"/>
        </w:rPr>
        <w:t xml:space="preserve">The </w:t>
      </w:r>
      <w:r w:rsidR="00AD61CD" w:rsidRPr="00D93C78">
        <w:rPr>
          <w:szCs w:val="24"/>
        </w:rPr>
        <w:t>vinyl</w:t>
      </w:r>
      <w:r w:rsidR="00413FFD" w:rsidRPr="00D93C78">
        <w:rPr>
          <w:szCs w:val="24"/>
        </w:rPr>
        <w:t xml:space="preserve"> chlorosilanes</w:t>
      </w:r>
      <w:r w:rsidR="00C54AD4" w:rsidRPr="00D93C78">
        <w:rPr>
          <w:szCs w:val="24"/>
        </w:rPr>
        <w:t xml:space="preserve"> </w:t>
      </w:r>
      <w:r w:rsidR="00C1433D" w:rsidRPr="00D93C78">
        <w:rPr>
          <w:szCs w:val="24"/>
          <w:lang w:val="en-US"/>
        </w:rPr>
        <w:t>hydroly</w:t>
      </w:r>
      <w:r w:rsidR="00276B1D" w:rsidRPr="00D93C78">
        <w:rPr>
          <w:szCs w:val="24"/>
          <w:lang w:val="en-US"/>
        </w:rPr>
        <w:t>z</w:t>
      </w:r>
      <w:r w:rsidR="00C1433D" w:rsidRPr="00D93C78">
        <w:rPr>
          <w:szCs w:val="24"/>
          <w:lang w:val="en-US"/>
        </w:rPr>
        <w:t xml:space="preserve">e rapidly; the half-lives </w:t>
      </w:r>
      <w:r w:rsidR="00276B1D" w:rsidRPr="00D93C78">
        <w:rPr>
          <w:szCs w:val="24"/>
          <w:lang w:val="en-US"/>
        </w:rPr>
        <w:t xml:space="preserve">is expected to be &lt;1 minute based on data from </w:t>
      </w:r>
      <w:r w:rsidR="00E20162" w:rsidRPr="00D93C78">
        <w:rPr>
          <w:szCs w:val="24"/>
          <w:lang w:val="en-US"/>
        </w:rPr>
        <w:t>two</w:t>
      </w:r>
      <w:r w:rsidR="00276B1D" w:rsidRPr="00D93C78">
        <w:rPr>
          <w:szCs w:val="24"/>
          <w:lang w:val="en-US"/>
        </w:rPr>
        <w:t xml:space="preserve"> analogous substance</w:t>
      </w:r>
      <w:r w:rsidR="00E20162" w:rsidRPr="00D93C78">
        <w:rPr>
          <w:szCs w:val="24"/>
          <w:lang w:val="en-US"/>
        </w:rPr>
        <w:t>s</w:t>
      </w:r>
      <w:r w:rsidR="00276B1D" w:rsidRPr="00D93C78">
        <w:rPr>
          <w:szCs w:val="24"/>
          <w:lang w:val="en-US"/>
        </w:rPr>
        <w:t xml:space="preserve">, </w:t>
      </w:r>
      <w:r w:rsidR="00086B26" w:rsidRPr="00D93C78">
        <w:rPr>
          <w:szCs w:val="24"/>
          <w:lang w:val="en-US"/>
        </w:rPr>
        <w:t>DMDCS</w:t>
      </w:r>
      <w:r w:rsidR="00AD61CD" w:rsidRPr="00D93C78">
        <w:rPr>
          <w:szCs w:val="24"/>
          <w:lang w:val="en-US"/>
        </w:rPr>
        <w:t xml:space="preserve"> (CAS N</w:t>
      </w:r>
      <w:r w:rsidR="00FB3A8E" w:rsidRPr="00D93C78">
        <w:rPr>
          <w:szCs w:val="24"/>
          <w:lang w:val="en-US"/>
        </w:rPr>
        <w:t>o</w:t>
      </w:r>
      <w:r w:rsidR="00AD61CD" w:rsidRPr="00D93C78">
        <w:rPr>
          <w:szCs w:val="24"/>
          <w:lang w:val="en-US"/>
        </w:rPr>
        <w:t>. 75-78-5)</w:t>
      </w:r>
      <w:r w:rsidR="00E20162" w:rsidRPr="00D93C78">
        <w:rPr>
          <w:szCs w:val="24"/>
          <w:lang w:val="en-US"/>
        </w:rPr>
        <w:t xml:space="preserve"> and </w:t>
      </w:r>
      <w:r w:rsidR="00086B26" w:rsidRPr="00D93C78">
        <w:rPr>
          <w:szCs w:val="24"/>
        </w:rPr>
        <w:t>MTCS</w:t>
      </w:r>
      <w:r w:rsidR="00E20162" w:rsidRPr="00D93C78">
        <w:rPr>
          <w:szCs w:val="24"/>
        </w:rPr>
        <w:t xml:space="preserve"> (CAS No. 75-79-6)</w:t>
      </w:r>
      <w:r w:rsidR="00C1433D" w:rsidRPr="00D93C78">
        <w:rPr>
          <w:snapToGrid w:val="0"/>
          <w:szCs w:val="24"/>
          <w:lang w:val="en-US"/>
        </w:rPr>
        <w:t>.</w:t>
      </w:r>
      <w:r w:rsidR="00C1433D" w:rsidRPr="00D93C78">
        <w:rPr>
          <w:szCs w:val="24"/>
        </w:rPr>
        <w:t xml:space="preserve">  This limits exposure to the parent materials.  Hydrolysis of </w:t>
      </w:r>
      <w:r w:rsidRPr="00D93C78">
        <w:rPr>
          <w:szCs w:val="24"/>
        </w:rPr>
        <w:t xml:space="preserve">the </w:t>
      </w:r>
      <w:r w:rsidR="00AD61CD" w:rsidRPr="00D93C78">
        <w:rPr>
          <w:szCs w:val="24"/>
        </w:rPr>
        <w:t>vinyl</w:t>
      </w:r>
      <w:r w:rsidR="00413FFD" w:rsidRPr="00D93C78">
        <w:rPr>
          <w:szCs w:val="24"/>
        </w:rPr>
        <w:t xml:space="preserve"> chlorosilanes</w:t>
      </w:r>
      <w:r w:rsidR="001D0FC6" w:rsidRPr="00D93C78">
        <w:rPr>
          <w:szCs w:val="24"/>
        </w:rPr>
        <w:t xml:space="preserve"> </w:t>
      </w:r>
      <w:r w:rsidR="00C1433D" w:rsidRPr="00D93C78">
        <w:rPr>
          <w:szCs w:val="24"/>
        </w:rPr>
        <w:t xml:space="preserve">results in the expected production of </w:t>
      </w:r>
      <w:r w:rsidR="005728C8" w:rsidRPr="00D93C78">
        <w:rPr>
          <w:szCs w:val="24"/>
        </w:rPr>
        <w:t>2</w:t>
      </w:r>
      <w:r w:rsidR="00AD61CD" w:rsidRPr="00D93C78">
        <w:rPr>
          <w:szCs w:val="24"/>
        </w:rPr>
        <w:t xml:space="preserve"> to</w:t>
      </w:r>
      <w:r w:rsidRPr="00D93C78">
        <w:rPr>
          <w:szCs w:val="24"/>
        </w:rPr>
        <w:t xml:space="preserve"> </w:t>
      </w:r>
      <w:r w:rsidR="00276B1D" w:rsidRPr="00D93C78">
        <w:rPr>
          <w:szCs w:val="24"/>
        </w:rPr>
        <w:t>3</w:t>
      </w:r>
      <w:r w:rsidR="00C1433D" w:rsidRPr="00D93C78">
        <w:rPr>
          <w:szCs w:val="24"/>
        </w:rPr>
        <w:t xml:space="preserve"> mole</w:t>
      </w:r>
      <w:r w:rsidR="00276B1D" w:rsidRPr="00D93C78">
        <w:rPr>
          <w:szCs w:val="24"/>
        </w:rPr>
        <w:t>s</w:t>
      </w:r>
      <w:r w:rsidR="00C1433D" w:rsidRPr="00D93C78">
        <w:rPr>
          <w:szCs w:val="24"/>
        </w:rPr>
        <w:t xml:space="preserve"> of HCl and one mole of </w:t>
      </w:r>
      <w:r w:rsidR="005728C8" w:rsidRPr="00D93C78">
        <w:rPr>
          <w:szCs w:val="24"/>
        </w:rPr>
        <w:t>silanediol or silanetriol, depending on the parent substance</w:t>
      </w:r>
      <w:r w:rsidR="00C1433D" w:rsidRPr="00D93C78">
        <w:rPr>
          <w:szCs w:val="24"/>
        </w:rPr>
        <w:t xml:space="preserve">.  Depending on pH and concentration in water, </w:t>
      </w:r>
      <w:r w:rsidRPr="00D93C78">
        <w:rPr>
          <w:szCs w:val="24"/>
        </w:rPr>
        <w:t>silanols</w:t>
      </w:r>
      <w:r w:rsidR="00C1433D" w:rsidRPr="00D93C78">
        <w:rPr>
          <w:szCs w:val="24"/>
        </w:rPr>
        <w:t xml:space="preserve"> can condense to form highly cross-linked, high molecular weight polymers, further reducing the potential for exposure.  If the substance is slowly released such that the concentration of the resulting silanol is not high enough to result in polymerization, the silanol will exist largely as a monomer.  The monomer is known to be water soluble due to the hydroxy groups on the silicon.  Thus, the silanols will have low log K</w:t>
      </w:r>
      <w:r w:rsidR="00C1433D" w:rsidRPr="00D93C78">
        <w:rPr>
          <w:szCs w:val="24"/>
          <w:vertAlign w:val="subscript"/>
        </w:rPr>
        <w:t>ow</w:t>
      </w:r>
      <w:r w:rsidR="00C1433D" w:rsidRPr="00D93C78">
        <w:rPr>
          <w:szCs w:val="24"/>
        </w:rPr>
        <w:t xml:space="preserve"> values and are not expected to bioaccumulate.  The water solubility of the </w:t>
      </w:r>
      <w:r w:rsidRPr="00D93C78">
        <w:rPr>
          <w:szCs w:val="24"/>
        </w:rPr>
        <w:t>silanol</w:t>
      </w:r>
      <w:r w:rsidR="00C1433D" w:rsidRPr="00D93C78">
        <w:rPr>
          <w:szCs w:val="24"/>
        </w:rPr>
        <w:t xml:space="preserve"> cannot be measured because of the tendency to condense at concentrations greater than approximately 500 mg/L (Chandra, 19</w:t>
      </w:r>
      <w:r w:rsidR="00276B1D" w:rsidRPr="00D93C78">
        <w:rPr>
          <w:szCs w:val="24"/>
        </w:rPr>
        <w:t>9</w:t>
      </w:r>
      <w:r w:rsidR="00C1433D" w:rsidRPr="00D93C78">
        <w:rPr>
          <w:szCs w:val="24"/>
        </w:rPr>
        <w:t xml:space="preserve">7).  It is known, however, that the </w:t>
      </w:r>
      <w:r w:rsidRPr="00D93C78">
        <w:rPr>
          <w:szCs w:val="24"/>
        </w:rPr>
        <w:t>silanol</w:t>
      </w:r>
      <w:r w:rsidR="00C1433D" w:rsidRPr="00D93C78">
        <w:rPr>
          <w:szCs w:val="24"/>
        </w:rPr>
        <w:t xml:space="preserve"> and small condensation products will only precipitate out of water due to formation of larger, water insoluble polymeric resins (Chandra, 19</w:t>
      </w:r>
      <w:r w:rsidR="00276B1D" w:rsidRPr="00D93C78">
        <w:rPr>
          <w:szCs w:val="24"/>
        </w:rPr>
        <w:t>9</w:t>
      </w:r>
      <w:r w:rsidR="00C1433D" w:rsidRPr="00D93C78">
        <w:rPr>
          <w:szCs w:val="24"/>
        </w:rPr>
        <w:t>7).</w:t>
      </w:r>
    </w:p>
    <w:p w:rsidR="000274A1" w:rsidRPr="00D93C78" w:rsidRDefault="00C1433D" w:rsidP="00405A21">
      <w:pPr>
        <w:pStyle w:val="Heading3"/>
        <w:numPr>
          <w:ilvl w:val="2"/>
          <w:numId w:val="4"/>
        </w:numPr>
        <w:tabs>
          <w:tab w:val="clear" w:pos="1077"/>
          <w:tab w:val="clear" w:pos="2160"/>
        </w:tabs>
        <w:ind w:left="839" w:hanging="839"/>
        <w:jc w:val="both"/>
        <w:rPr>
          <w:rFonts w:ascii="Times New Roman" w:hAnsi="Times New Roman"/>
          <w:szCs w:val="24"/>
        </w:rPr>
      </w:pPr>
      <w:bookmarkStart w:id="48" w:name="_Toc32726018"/>
      <w:bookmarkStart w:id="49" w:name="_Toc32727201"/>
      <w:bookmarkStart w:id="50" w:name="_Toc43868649"/>
      <w:bookmarkStart w:id="51" w:name="_Toc200358237"/>
      <w:bookmarkStart w:id="52" w:name="_Toc310335178"/>
      <w:r w:rsidRPr="00D93C78">
        <w:rPr>
          <w:rFonts w:ascii="Times New Roman" w:hAnsi="Times New Roman"/>
          <w:szCs w:val="24"/>
        </w:rPr>
        <w:t>Photodegradation</w:t>
      </w:r>
      <w:bookmarkEnd w:id="48"/>
      <w:bookmarkEnd w:id="49"/>
      <w:bookmarkEnd w:id="50"/>
      <w:bookmarkEnd w:id="51"/>
      <w:bookmarkEnd w:id="52"/>
    </w:p>
    <w:p w:rsidR="00C1433D" w:rsidRPr="00D93C78" w:rsidRDefault="001A01ED" w:rsidP="00D93C78">
      <w:pPr>
        <w:pStyle w:val="BodyText"/>
        <w:rPr>
          <w:szCs w:val="24"/>
        </w:rPr>
      </w:pPr>
      <w:r w:rsidRPr="00D93C78">
        <w:rPr>
          <w:szCs w:val="24"/>
        </w:rPr>
        <w:t xml:space="preserve">The </w:t>
      </w:r>
      <w:r w:rsidR="00AD61CD" w:rsidRPr="00D93C78">
        <w:rPr>
          <w:szCs w:val="24"/>
        </w:rPr>
        <w:t>vinyl</w:t>
      </w:r>
      <w:r w:rsidR="00413FFD" w:rsidRPr="00D93C78">
        <w:rPr>
          <w:szCs w:val="24"/>
        </w:rPr>
        <w:t xml:space="preserve"> chlorosilanes</w:t>
      </w:r>
      <w:r w:rsidR="00C54AD4" w:rsidRPr="00D93C78">
        <w:rPr>
          <w:szCs w:val="24"/>
        </w:rPr>
        <w:t xml:space="preserve"> </w:t>
      </w:r>
      <w:r w:rsidRPr="00D93C78">
        <w:rPr>
          <w:szCs w:val="24"/>
        </w:rPr>
        <w:t>are</w:t>
      </w:r>
      <w:r w:rsidR="00C1433D" w:rsidRPr="00D93C78">
        <w:rPr>
          <w:szCs w:val="24"/>
        </w:rPr>
        <w:t xml:space="preserve"> not expected to undergo direct photolysis</w:t>
      </w:r>
      <w:r w:rsidR="00C54AD4" w:rsidRPr="00D93C78">
        <w:rPr>
          <w:szCs w:val="24"/>
        </w:rPr>
        <w:t xml:space="preserve"> in air</w:t>
      </w:r>
      <w:r w:rsidR="00C1433D" w:rsidRPr="00D93C78">
        <w:rPr>
          <w:szCs w:val="24"/>
        </w:rPr>
        <w:t>, but may undergo indirect photolysis through hydroxyl radical oxidation.  The hydroxyl radical reaction was calculated using a 12-hr day in AOPWIN® ver. 1.92 (EPI Suite (v4.</w:t>
      </w:r>
      <w:r w:rsidR="00E531DE" w:rsidRPr="00D93C78">
        <w:rPr>
          <w:szCs w:val="24"/>
        </w:rPr>
        <w:t>1</w:t>
      </w:r>
      <w:r w:rsidR="00450109" w:rsidRPr="00D93C78">
        <w:rPr>
          <w:szCs w:val="24"/>
        </w:rPr>
        <w:t>0</w:t>
      </w:r>
      <w:r w:rsidR="00C1433D" w:rsidRPr="00D93C78">
        <w:rPr>
          <w:szCs w:val="24"/>
        </w:rPr>
        <w:t>).  The overall OH rate constant</w:t>
      </w:r>
      <w:r w:rsidR="00E531DE" w:rsidRPr="00D93C78">
        <w:rPr>
          <w:szCs w:val="24"/>
        </w:rPr>
        <w:t>s</w:t>
      </w:r>
      <w:r w:rsidR="00C1433D" w:rsidRPr="00D93C78">
        <w:rPr>
          <w:szCs w:val="24"/>
        </w:rPr>
        <w:t xml:space="preserve"> and estimated half-li</w:t>
      </w:r>
      <w:r w:rsidR="00E531DE" w:rsidRPr="00D93C78">
        <w:rPr>
          <w:szCs w:val="24"/>
        </w:rPr>
        <w:t>ves</w:t>
      </w:r>
      <w:r w:rsidR="00276B1D" w:rsidRPr="00D93C78">
        <w:rPr>
          <w:szCs w:val="24"/>
        </w:rPr>
        <w:t xml:space="preserve"> are </w:t>
      </w:r>
      <w:r w:rsidR="00E531DE" w:rsidRPr="00D93C78">
        <w:rPr>
          <w:szCs w:val="24"/>
        </w:rPr>
        <w:t xml:space="preserve">provided in Table </w:t>
      </w:r>
      <w:r w:rsidR="00EF1F1D" w:rsidRPr="00D93C78">
        <w:rPr>
          <w:szCs w:val="24"/>
        </w:rPr>
        <w:t>6</w:t>
      </w:r>
      <w:r w:rsidR="00E531DE" w:rsidRPr="00D93C78">
        <w:rPr>
          <w:szCs w:val="24"/>
        </w:rPr>
        <w:t xml:space="preserve">.  </w:t>
      </w:r>
      <w:r w:rsidR="00C1433D" w:rsidRPr="00D93C78">
        <w:rPr>
          <w:szCs w:val="24"/>
        </w:rPr>
        <w:t xml:space="preserve">Photodegradation as a removal mechanism from air is unlikely </w:t>
      </w:r>
      <w:r w:rsidR="003C1694" w:rsidRPr="00D93C78">
        <w:rPr>
          <w:szCs w:val="24"/>
        </w:rPr>
        <w:t xml:space="preserve">to be relevant </w:t>
      </w:r>
      <w:r w:rsidR="00C1433D" w:rsidRPr="00D93C78">
        <w:rPr>
          <w:szCs w:val="24"/>
        </w:rPr>
        <w:t xml:space="preserve">as </w:t>
      </w:r>
      <w:r w:rsidR="00A8530F" w:rsidRPr="00D93C78">
        <w:rPr>
          <w:szCs w:val="24"/>
        </w:rPr>
        <w:t xml:space="preserve">the </w:t>
      </w:r>
      <w:r w:rsidR="00AD61CD" w:rsidRPr="00D93C78">
        <w:rPr>
          <w:bCs/>
          <w:szCs w:val="24"/>
        </w:rPr>
        <w:t>vinyl</w:t>
      </w:r>
      <w:r w:rsidR="00413FFD" w:rsidRPr="00D93C78">
        <w:rPr>
          <w:bCs/>
          <w:szCs w:val="24"/>
        </w:rPr>
        <w:t xml:space="preserve"> chlorosilanes</w:t>
      </w:r>
      <w:r w:rsidR="001D0FC6" w:rsidRPr="00D93C78">
        <w:rPr>
          <w:bCs/>
          <w:szCs w:val="24"/>
        </w:rPr>
        <w:t xml:space="preserve"> </w:t>
      </w:r>
      <w:r w:rsidR="001D0FC6" w:rsidRPr="00D93C78">
        <w:rPr>
          <w:szCs w:val="24"/>
        </w:rPr>
        <w:t>are</w:t>
      </w:r>
      <w:r w:rsidR="00C1433D" w:rsidRPr="00D93C78">
        <w:rPr>
          <w:szCs w:val="24"/>
        </w:rPr>
        <w:t xml:space="preserve"> hydrolytically unstable, such that HCl and the likely hydrolysis products are assumed to be rapidly generated upon contact with atmospheric water vapour.  </w:t>
      </w:r>
      <w:r w:rsidR="005728C8" w:rsidRPr="00D93C78">
        <w:rPr>
          <w:szCs w:val="24"/>
        </w:rPr>
        <w:t xml:space="preserve">Therefore, any potential for photodegradation might be superseded by hydrolysis of the parent compound depending on the concentration of water vapor in the air.  </w:t>
      </w:r>
    </w:p>
    <w:p w:rsidR="00E531DE" w:rsidRPr="00D93C78" w:rsidRDefault="00740E9A" w:rsidP="004204A4">
      <w:pPr>
        <w:pStyle w:val="Caption"/>
        <w:ind w:hanging="839"/>
        <w:jc w:val="both"/>
        <w:rPr>
          <w:rFonts w:ascii="Times New Roman" w:hAnsi="Times New Roman"/>
          <w:szCs w:val="24"/>
        </w:rPr>
      </w:pPr>
      <w:bookmarkStart w:id="53" w:name="_Toc282678007"/>
      <w:bookmarkStart w:id="54" w:name="_Toc310335205"/>
      <w:r>
        <w:rPr>
          <w:rFonts w:ascii="Times New Roman" w:hAnsi="Times New Roman"/>
          <w:szCs w:val="24"/>
        </w:rPr>
        <w:t xml:space="preserve"> </w:t>
      </w:r>
      <w:r w:rsidR="00E531DE" w:rsidRPr="00D93C78">
        <w:rPr>
          <w:rFonts w:ascii="Times New Roman" w:hAnsi="Times New Roman"/>
          <w:szCs w:val="24"/>
        </w:rPr>
        <w:t>Table</w:t>
      </w:r>
      <w:r w:rsidR="00EF1F1D" w:rsidRPr="00D93C78">
        <w:rPr>
          <w:rFonts w:ascii="Times New Roman" w:hAnsi="Times New Roman"/>
          <w:szCs w:val="24"/>
        </w:rPr>
        <w:t>6</w:t>
      </w:r>
      <w:r w:rsidR="00E531DE" w:rsidRPr="00D93C78">
        <w:rPr>
          <w:rFonts w:ascii="Times New Roman" w:hAnsi="Times New Roman"/>
          <w:szCs w:val="24"/>
        </w:rPr>
        <w:t xml:space="preserve">. </w:t>
      </w:r>
      <w:r w:rsidR="00D67A69">
        <w:rPr>
          <w:rFonts w:ascii="Times New Roman" w:hAnsi="Times New Roman"/>
          <w:szCs w:val="24"/>
        </w:rPr>
        <w:t xml:space="preserve">   </w:t>
      </w:r>
      <w:r w:rsidR="00E531DE" w:rsidRPr="00D93C78">
        <w:rPr>
          <w:rFonts w:ascii="Times New Roman" w:hAnsi="Times New Roman"/>
          <w:szCs w:val="24"/>
        </w:rPr>
        <w:t>Summary of Photodegradation</w:t>
      </w:r>
      <w:bookmarkEnd w:id="53"/>
      <w:bookmarkEnd w:id="54"/>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037"/>
        <w:gridCol w:w="2844"/>
        <w:gridCol w:w="1926"/>
        <w:gridCol w:w="2752"/>
      </w:tblGrid>
      <w:tr w:rsidR="00E531DE" w:rsidRPr="004204A4" w:rsidTr="004204A4">
        <w:trPr>
          <w:tblHeader/>
        </w:trPr>
        <w:tc>
          <w:tcPr>
            <w:tcW w:w="1998" w:type="dxa"/>
            <w:tcBorders>
              <w:top w:val="single" w:sz="12" w:space="0" w:color="auto"/>
              <w:bottom w:val="single" w:sz="12" w:space="0" w:color="auto"/>
            </w:tcBorders>
            <w:vAlign w:val="center"/>
          </w:tcPr>
          <w:p w:rsidR="00E531DE" w:rsidRPr="004204A4" w:rsidRDefault="00E531DE" w:rsidP="004204A4">
            <w:pPr>
              <w:pStyle w:val="Tabletext"/>
              <w:jc w:val="center"/>
              <w:rPr>
                <w:b/>
                <w:bCs/>
              </w:rPr>
            </w:pPr>
            <w:r w:rsidRPr="004204A4">
              <w:rPr>
                <w:b/>
                <w:bCs/>
              </w:rPr>
              <w:t>Substance</w:t>
            </w:r>
          </w:p>
        </w:tc>
        <w:tc>
          <w:tcPr>
            <w:tcW w:w="2790" w:type="dxa"/>
            <w:tcBorders>
              <w:top w:val="single" w:sz="12" w:space="0" w:color="auto"/>
              <w:bottom w:val="single" w:sz="12" w:space="0" w:color="auto"/>
            </w:tcBorders>
            <w:vAlign w:val="center"/>
          </w:tcPr>
          <w:p w:rsidR="00E531DE" w:rsidRPr="004204A4" w:rsidRDefault="00E531DE" w:rsidP="004204A4">
            <w:pPr>
              <w:pStyle w:val="Tabletext"/>
              <w:jc w:val="center"/>
              <w:rPr>
                <w:b/>
              </w:rPr>
            </w:pPr>
            <w:r w:rsidRPr="004204A4">
              <w:rPr>
                <w:b/>
              </w:rPr>
              <w:t>Overall OH rate constant</w:t>
            </w:r>
          </w:p>
          <w:p w:rsidR="00E531DE" w:rsidRPr="004204A4" w:rsidRDefault="00E531DE" w:rsidP="004204A4">
            <w:pPr>
              <w:pStyle w:val="Tabletext"/>
              <w:jc w:val="center"/>
              <w:rPr>
                <w:b/>
                <w:bCs/>
              </w:rPr>
            </w:pPr>
            <w:r w:rsidRPr="004204A4">
              <w:rPr>
                <w:b/>
              </w:rPr>
              <w:t>(E</w:t>
            </w:r>
            <w:r w:rsidRPr="004204A4">
              <w:rPr>
                <w:b/>
                <w:vertAlign w:val="superscript"/>
              </w:rPr>
              <w:t>-12</w:t>
            </w:r>
            <w:r w:rsidRPr="004204A4">
              <w:rPr>
                <w:b/>
              </w:rPr>
              <w:t xml:space="preserve"> cm</w:t>
            </w:r>
            <w:r w:rsidRPr="004204A4">
              <w:rPr>
                <w:b/>
                <w:vertAlign w:val="superscript"/>
              </w:rPr>
              <w:t>3</w:t>
            </w:r>
            <w:r w:rsidRPr="004204A4">
              <w:rPr>
                <w:b/>
              </w:rPr>
              <w:t>/molecule-sec)</w:t>
            </w:r>
          </w:p>
        </w:tc>
        <w:tc>
          <w:tcPr>
            <w:tcW w:w="1890" w:type="dxa"/>
            <w:tcBorders>
              <w:top w:val="single" w:sz="12" w:space="0" w:color="auto"/>
              <w:bottom w:val="single" w:sz="12" w:space="0" w:color="auto"/>
            </w:tcBorders>
            <w:vAlign w:val="center"/>
          </w:tcPr>
          <w:p w:rsidR="00E531DE" w:rsidRPr="004204A4" w:rsidRDefault="00E531DE" w:rsidP="004204A4">
            <w:pPr>
              <w:pStyle w:val="Tabletext"/>
              <w:jc w:val="center"/>
              <w:rPr>
                <w:b/>
              </w:rPr>
            </w:pPr>
            <w:r w:rsidRPr="004204A4">
              <w:rPr>
                <w:b/>
              </w:rPr>
              <w:t>Estimated half-life (</w:t>
            </w:r>
            <w:r w:rsidR="00D131EE" w:rsidRPr="004204A4">
              <w:rPr>
                <w:b/>
              </w:rPr>
              <w:t>hours</w:t>
            </w:r>
            <w:r w:rsidRPr="004204A4">
              <w:rPr>
                <w:b/>
              </w:rPr>
              <w:t xml:space="preserve">) </w:t>
            </w:r>
            <w:r w:rsidR="001F78AE" w:rsidRPr="004204A4">
              <w:rPr>
                <w:b/>
              </w:rPr>
              <w:t>(a)</w:t>
            </w:r>
          </w:p>
        </w:tc>
        <w:tc>
          <w:tcPr>
            <w:tcW w:w="2700" w:type="dxa"/>
            <w:tcBorders>
              <w:top w:val="single" w:sz="12" w:space="0" w:color="auto"/>
              <w:bottom w:val="single" w:sz="12" w:space="0" w:color="auto"/>
            </w:tcBorders>
            <w:vAlign w:val="center"/>
          </w:tcPr>
          <w:p w:rsidR="00E531DE" w:rsidRPr="004204A4" w:rsidRDefault="00E531DE" w:rsidP="004204A4">
            <w:pPr>
              <w:pStyle w:val="Tabletext"/>
              <w:jc w:val="center"/>
              <w:rPr>
                <w:b/>
                <w:bCs/>
              </w:rPr>
            </w:pPr>
            <w:r w:rsidRPr="004204A4">
              <w:rPr>
                <w:b/>
                <w:bCs/>
              </w:rPr>
              <w:t>References</w:t>
            </w:r>
          </w:p>
        </w:tc>
      </w:tr>
      <w:tr w:rsidR="00EA3C6C" w:rsidRPr="004204A4" w:rsidTr="004204A4">
        <w:trPr>
          <w:trHeight w:val="288"/>
        </w:trPr>
        <w:tc>
          <w:tcPr>
            <w:tcW w:w="1998" w:type="dxa"/>
            <w:tcBorders>
              <w:top w:val="single" w:sz="12" w:space="0" w:color="auto"/>
            </w:tcBorders>
            <w:vAlign w:val="center"/>
          </w:tcPr>
          <w:p w:rsidR="00EA3C6C" w:rsidRPr="004204A4" w:rsidRDefault="00EA3C6C" w:rsidP="004204A4">
            <w:pPr>
              <w:pStyle w:val="Tabletext"/>
              <w:jc w:val="center"/>
              <w:rPr>
                <w:b/>
              </w:rPr>
            </w:pPr>
            <w:r w:rsidRPr="004204A4">
              <w:rPr>
                <w:b/>
              </w:rPr>
              <w:t>VDCS</w:t>
            </w:r>
          </w:p>
        </w:tc>
        <w:tc>
          <w:tcPr>
            <w:tcW w:w="2790" w:type="dxa"/>
            <w:tcBorders>
              <w:top w:val="single" w:sz="12" w:space="0" w:color="auto"/>
            </w:tcBorders>
          </w:tcPr>
          <w:p w:rsidR="00EA3C6C" w:rsidRPr="004204A4" w:rsidRDefault="00EA3C6C" w:rsidP="004204A4">
            <w:pPr>
              <w:spacing w:before="60" w:after="60"/>
              <w:jc w:val="center"/>
              <w:rPr>
                <w:sz w:val="20"/>
                <w:szCs w:val="20"/>
              </w:rPr>
            </w:pPr>
            <w:r w:rsidRPr="004204A4">
              <w:rPr>
                <w:sz w:val="20"/>
                <w:szCs w:val="20"/>
              </w:rPr>
              <w:t>26.5</w:t>
            </w:r>
          </w:p>
        </w:tc>
        <w:tc>
          <w:tcPr>
            <w:tcW w:w="1890" w:type="dxa"/>
            <w:tcBorders>
              <w:top w:val="single" w:sz="12" w:space="0" w:color="auto"/>
            </w:tcBorders>
          </w:tcPr>
          <w:p w:rsidR="00EA3C6C" w:rsidRPr="004204A4" w:rsidRDefault="00EA3C6C" w:rsidP="004204A4">
            <w:pPr>
              <w:pStyle w:val="NormalWeb"/>
              <w:spacing w:before="60" w:beforeAutospacing="0" w:after="60" w:afterAutospacing="0"/>
              <w:jc w:val="center"/>
              <w:rPr>
                <w:sz w:val="20"/>
                <w:szCs w:val="20"/>
              </w:rPr>
            </w:pPr>
            <w:r w:rsidRPr="004204A4">
              <w:rPr>
                <w:sz w:val="20"/>
                <w:szCs w:val="20"/>
              </w:rPr>
              <w:t>4.8</w:t>
            </w:r>
          </w:p>
        </w:tc>
        <w:tc>
          <w:tcPr>
            <w:tcW w:w="2700" w:type="dxa"/>
            <w:vMerge w:val="restart"/>
            <w:tcBorders>
              <w:top w:val="single" w:sz="12" w:space="0" w:color="auto"/>
            </w:tcBorders>
          </w:tcPr>
          <w:p w:rsidR="00921A4C" w:rsidRPr="004204A4" w:rsidRDefault="00921A4C" w:rsidP="004204A4">
            <w:pPr>
              <w:jc w:val="center"/>
              <w:rPr>
                <w:sz w:val="20"/>
                <w:szCs w:val="20"/>
              </w:rPr>
            </w:pPr>
            <w:r w:rsidRPr="004204A4">
              <w:rPr>
                <w:sz w:val="20"/>
                <w:szCs w:val="20"/>
              </w:rPr>
              <w:t>EPI Suite (v4.10)</w:t>
            </w:r>
          </w:p>
          <w:p w:rsidR="00EA3C6C" w:rsidRPr="004204A4" w:rsidRDefault="00EA3C6C" w:rsidP="004204A4">
            <w:pPr>
              <w:jc w:val="center"/>
              <w:rPr>
                <w:sz w:val="20"/>
                <w:szCs w:val="20"/>
              </w:rPr>
            </w:pPr>
          </w:p>
        </w:tc>
      </w:tr>
      <w:tr w:rsidR="00EA3C6C" w:rsidRPr="004204A4" w:rsidTr="004204A4">
        <w:trPr>
          <w:trHeight w:val="288"/>
        </w:trPr>
        <w:tc>
          <w:tcPr>
            <w:tcW w:w="1998" w:type="dxa"/>
            <w:vAlign w:val="center"/>
          </w:tcPr>
          <w:p w:rsidR="00EA3C6C" w:rsidRPr="004204A4" w:rsidRDefault="00EA3C6C" w:rsidP="004204A4">
            <w:pPr>
              <w:pStyle w:val="Tabletext"/>
              <w:autoSpaceDE w:val="0"/>
              <w:autoSpaceDN w:val="0"/>
              <w:ind w:left="57"/>
              <w:jc w:val="center"/>
              <w:rPr>
                <w:b/>
              </w:rPr>
            </w:pPr>
            <w:r w:rsidRPr="004204A4">
              <w:rPr>
                <w:b/>
              </w:rPr>
              <w:t>VTCS</w:t>
            </w:r>
          </w:p>
        </w:tc>
        <w:tc>
          <w:tcPr>
            <w:tcW w:w="2790" w:type="dxa"/>
          </w:tcPr>
          <w:p w:rsidR="00EA3C6C" w:rsidRPr="004204A4" w:rsidRDefault="00EA3C6C" w:rsidP="004204A4">
            <w:pPr>
              <w:spacing w:before="60" w:after="60"/>
              <w:jc w:val="center"/>
              <w:rPr>
                <w:sz w:val="20"/>
                <w:szCs w:val="20"/>
              </w:rPr>
            </w:pPr>
            <w:r w:rsidRPr="004204A4">
              <w:rPr>
                <w:sz w:val="20"/>
                <w:szCs w:val="20"/>
              </w:rPr>
              <w:t>26.3</w:t>
            </w:r>
          </w:p>
        </w:tc>
        <w:tc>
          <w:tcPr>
            <w:tcW w:w="1890" w:type="dxa"/>
          </w:tcPr>
          <w:p w:rsidR="00EA3C6C" w:rsidRPr="004204A4" w:rsidRDefault="00EA3C6C" w:rsidP="004204A4">
            <w:pPr>
              <w:spacing w:before="60" w:after="60"/>
              <w:jc w:val="center"/>
              <w:rPr>
                <w:sz w:val="20"/>
                <w:szCs w:val="20"/>
              </w:rPr>
            </w:pPr>
            <w:r w:rsidRPr="004204A4">
              <w:rPr>
                <w:sz w:val="20"/>
                <w:szCs w:val="20"/>
              </w:rPr>
              <w:t>4.9</w:t>
            </w:r>
          </w:p>
        </w:tc>
        <w:tc>
          <w:tcPr>
            <w:tcW w:w="2700" w:type="dxa"/>
            <w:vMerge/>
          </w:tcPr>
          <w:p w:rsidR="00EA3C6C" w:rsidRPr="004204A4" w:rsidRDefault="00EA3C6C" w:rsidP="00D93C78">
            <w:pPr>
              <w:jc w:val="both"/>
              <w:rPr>
                <w:sz w:val="20"/>
                <w:szCs w:val="20"/>
              </w:rPr>
            </w:pPr>
          </w:p>
        </w:tc>
      </w:tr>
    </w:tbl>
    <w:p w:rsidR="00D0508C" w:rsidRPr="004204A4" w:rsidRDefault="00DC463D" w:rsidP="00405A21">
      <w:pPr>
        <w:pStyle w:val="ListParagraph"/>
        <w:numPr>
          <w:ilvl w:val="0"/>
          <w:numId w:val="6"/>
        </w:numPr>
        <w:jc w:val="both"/>
        <w:rPr>
          <w:sz w:val="20"/>
          <w:szCs w:val="20"/>
        </w:rPr>
      </w:pPr>
      <w:bookmarkStart w:id="55" w:name="_Toc32726019"/>
      <w:bookmarkStart w:id="56" w:name="_Toc32727202"/>
      <w:bookmarkStart w:id="57" w:name="_Toc43868650"/>
      <w:bookmarkStart w:id="58" w:name="_Toc200358238"/>
      <w:bookmarkStart w:id="59" w:name="_Toc310335179"/>
      <w:r w:rsidRPr="004204A4">
        <w:rPr>
          <w:vanish/>
          <w:sz w:val="20"/>
          <w:szCs w:val="20"/>
        </w:rPr>
        <w:t xml:space="preserve"> </w:t>
      </w:r>
      <w:r w:rsidR="009C7F6B" w:rsidRPr="004204A4">
        <w:rPr>
          <w:sz w:val="20"/>
          <w:szCs w:val="20"/>
        </w:rPr>
        <w:t>The modeling assumes the OH radical concentration is 1.5E+06 molecules/cm</w:t>
      </w:r>
      <w:r w:rsidR="009C7F6B" w:rsidRPr="004204A4">
        <w:rPr>
          <w:sz w:val="20"/>
          <w:szCs w:val="20"/>
          <w:vertAlign w:val="superscript"/>
        </w:rPr>
        <w:t>3</w:t>
      </w:r>
      <w:r w:rsidR="009C7F6B" w:rsidRPr="004204A4">
        <w:rPr>
          <w:sz w:val="20"/>
          <w:szCs w:val="20"/>
        </w:rPr>
        <w:t>, and presumes the hours are hours of daylight (12 hr).</w:t>
      </w:r>
    </w:p>
    <w:p w:rsidR="000274A1" w:rsidRPr="00D93C78" w:rsidRDefault="00C1433D" w:rsidP="00405A21">
      <w:pPr>
        <w:pStyle w:val="Heading3"/>
        <w:numPr>
          <w:ilvl w:val="2"/>
          <w:numId w:val="4"/>
        </w:numPr>
        <w:tabs>
          <w:tab w:val="clear" w:pos="1077"/>
          <w:tab w:val="clear" w:pos="2160"/>
        </w:tabs>
        <w:ind w:left="839" w:hanging="839"/>
        <w:jc w:val="both"/>
        <w:rPr>
          <w:rFonts w:ascii="Times New Roman" w:hAnsi="Times New Roman"/>
          <w:szCs w:val="24"/>
        </w:rPr>
      </w:pPr>
      <w:r w:rsidRPr="00D93C78">
        <w:rPr>
          <w:rFonts w:ascii="Times New Roman" w:hAnsi="Times New Roman"/>
          <w:szCs w:val="24"/>
        </w:rPr>
        <w:t>Stability in Water</w:t>
      </w:r>
      <w:bookmarkEnd w:id="55"/>
      <w:bookmarkEnd w:id="56"/>
      <w:bookmarkEnd w:id="57"/>
      <w:bookmarkEnd w:id="58"/>
      <w:bookmarkEnd w:id="59"/>
    </w:p>
    <w:p w:rsidR="000274A1" w:rsidRPr="00D93C78" w:rsidRDefault="001A01ED" w:rsidP="00D93C78">
      <w:pPr>
        <w:pStyle w:val="BodyText"/>
        <w:rPr>
          <w:szCs w:val="24"/>
        </w:rPr>
      </w:pPr>
      <w:r w:rsidRPr="00D93C78">
        <w:rPr>
          <w:szCs w:val="24"/>
        </w:rPr>
        <w:t>H</w:t>
      </w:r>
      <w:r w:rsidR="00C1433D" w:rsidRPr="00D93C78">
        <w:rPr>
          <w:szCs w:val="24"/>
        </w:rPr>
        <w:t xml:space="preserve">ydrolysis </w:t>
      </w:r>
      <w:r w:rsidR="00904E0A" w:rsidRPr="00D93C78">
        <w:rPr>
          <w:szCs w:val="24"/>
        </w:rPr>
        <w:t>stud</w:t>
      </w:r>
      <w:r w:rsidRPr="00D93C78">
        <w:rPr>
          <w:szCs w:val="24"/>
        </w:rPr>
        <w:t>ies were</w:t>
      </w:r>
      <w:r w:rsidR="00904E0A" w:rsidRPr="00D93C78">
        <w:rPr>
          <w:szCs w:val="24"/>
        </w:rPr>
        <w:t xml:space="preserve"> not</w:t>
      </w:r>
      <w:r w:rsidR="00C1433D" w:rsidRPr="00D93C78">
        <w:rPr>
          <w:szCs w:val="24"/>
        </w:rPr>
        <w:t xml:space="preserve"> conducted on </w:t>
      </w:r>
      <w:r w:rsidRPr="00D93C78">
        <w:rPr>
          <w:szCs w:val="24"/>
        </w:rPr>
        <w:t xml:space="preserve">the </w:t>
      </w:r>
      <w:r w:rsidR="00AD61CD" w:rsidRPr="00D93C78">
        <w:rPr>
          <w:szCs w:val="24"/>
        </w:rPr>
        <w:t>vinyl</w:t>
      </w:r>
      <w:r w:rsidRPr="00D93C78">
        <w:rPr>
          <w:szCs w:val="24"/>
        </w:rPr>
        <w:t xml:space="preserve"> chlorosilanes</w:t>
      </w:r>
      <w:r w:rsidR="00C1433D" w:rsidRPr="00D93C78">
        <w:rPr>
          <w:szCs w:val="24"/>
        </w:rPr>
        <w:t xml:space="preserve">. </w:t>
      </w:r>
      <w:r w:rsidR="00C1433D" w:rsidRPr="00D93C78">
        <w:rPr>
          <w:bCs/>
          <w:snapToGrid w:val="0"/>
          <w:szCs w:val="24"/>
        </w:rPr>
        <w:t>The hydrolysis mechanis</w:t>
      </w:r>
      <w:r w:rsidR="00904E0A" w:rsidRPr="00D93C78">
        <w:rPr>
          <w:bCs/>
          <w:snapToGrid w:val="0"/>
          <w:szCs w:val="24"/>
        </w:rPr>
        <w:t>m is the same for all chlorosil</w:t>
      </w:r>
      <w:r w:rsidR="00C1433D" w:rsidRPr="00D93C78">
        <w:rPr>
          <w:bCs/>
          <w:snapToGrid w:val="0"/>
          <w:szCs w:val="24"/>
        </w:rPr>
        <w:t>anes.  The hydrolysis reactions of chlorosilanes proceed by nucleophilic attack of water at the Si atom, resulting in substitution of an –OH group for each –Cl atom attached to Si in the parent silane.  Due to the strong silicon-oxygen bonds formed during hydrolysis, this is a highly exothermic process.  The –Cl atoms are eliminated as HCl, which will ionize in water to form H+ and Cl- ions, leading to a pH reduction in unbuffered systems.</w:t>
      </w:r>
      <w:r w:rsidR="00C1433D" w:rsidRPr="00D93C78">
        <w:rPr>
          <w:szCs w:val="24"/>
        </w:rPr>
        <w:t xml:space="preserve"> </w:t>
      </w:r>
    </w:p>
    <w:p w:rsidR="00F60798" w:rsidRPr="00D93C78" w:rsidRDefault="00FB3A8E" w:rsidP="00D93C78">
      <w:pPr>
        <w:pStyle w:val="BodyText"/>
        <w:rPr>
          <w:szCs w:val="24"/>
        </w:rPr>
      </w:pPr>
      <w:r w:rsidRPr="00D93C78">
        <w:rPr>
          <w:b/>
          <w:szCs w:val="24"/>
        </w:rPr>
        <w:t>VDCS</w:t>
      </w:r>
      <w:r w:rsidR="00D44F62" w:rsidRPr="00D93C78">
        <w:rPr>
          <w:b/>
          <w:szCs w:val="24"/>
        </w:rPr>
        <w:t>:</w:t>
      </w:r>
      <w:r w:rsidR="00F60798" w:rsidRPr="00D93C78">
        <w:rPr>
          <w:b/>
          <w:szCs w:val="24"/>
        </w:rPr>
        <w:t xml:space="preserve"> </w:t>
      </w:r>
      <w:r w:rsidR="00F60798" w:rsidRPr="00D93C78">
        <w:rPr>
          <w:szCs w:val="24"/>
        </w:rPr>
        <w:t xml:space="preserve">No hydrolysis study is available for </w:t>
      </w:r>
      <w:r w:rsidRPr="00D93C78">
        <w:rPr>
          <w:b/>
          <w:szCs w:val="24"/>
        </w:rPr>
        <w:t>VDCS</w:t>
      </w:r>
      <w:r w:rsidR="00F60798" w:rsidRPr="00D93C78">
        <w:rPr>
          <w:szCs w:val="24"/>
        </w:rPr>
        <w:t xml:space="preserve">. However, a reliable study according to OECD 111 is available for the related substance </w:t>
      </w:r>
      <w:r w:rsidR="00086B26" w:rsidRPr="00D93C78">
        <w:rPr>
          <w:szCs w:val="24"/>
        </w:rPr>
        <w:t>DMDCS</w:t>
      </w:r>
      <w:r w:rsidR="00F60798" w:rsidRPr="00D93C78">
        <w:rPr>
          <w:szCs w:val="24"/>
        </w:rPr>
        <w:t xml:space="preserve"> (CAS No. 75-78-5), which is fully hydrolysed </w:t>
      </w:r>
      <w:r w:rsidR="00E20162" w:rsidRPr="00D93C78">
        <w:rPr>
          <w:szCs w:val="24"/>
        </w:rPr>
        <w:t>in less than 1 minute</w:t>
      </w:r>
      <w:r w:rsidR="00F60798" w:rsidRPr="00D93C78">
        <w:rPr>
          <w:szCs w:val="24"/>
        </w:rPr>
        <w:t xml:space="preserve"> at pH 4, 7 and 9 and 1.5°C (Miller  and  Kozerski, 2001). The expected initial hydrolysis products for </w:t>
      </w:r>
      <w:r w:rsidRPr="00D93C78">
        <w:rPr>
          <w:b/>
          <w:szCs w:val="24"/>
        </w:rPr>
        <w:t>VDCS</w:t>
      </w:r>
      <w:r w:rsidR="00F60798" w:rsidRPr="00D93C78">
        <w:rPr>
          <w:szCs w:val="24"/>
        </w:rPr>
        <w:t xml:space="preserve"> are </w:t>
      </w:r>
      <w:r w:rsidRPr="00D93C78">
        <w:rPr>
          <w:szCs w:val="24"/>
        </w:rPr>
        <w:t>vinylmethyl</w:t>
      </w:r>
      <w:r w:rsidR="00F60798" w:rsidRPr="00D93C78">
        <w:rPr>
          <w:szCs w:val="24"/>
        </w:rPr>
        <w:t xml:space="preserve">silanediol and hydrogen chloride. </w:t>
      </w:r>
    </w:p>
    <w:p w:rsidR="00F60798" w:rsidRPr="00D93C78" w:rsidRDefault="00FB3A8E" w:rsidP="00D93C78">
      <w:pPr>
        <w:pStyle w:val="BodyText"/>
        <w:rPr>
          <w:szCs w:val="24"/>
        </w:rPr>
      </w:pPr>
      <w:r w:rsidRPr="00D93C78">
        <w:rPr>
          <w:b/>
          <w:szCs w:val="24"/>
        </w:rPr>
        <w:t>VTCS</w:t>
      </w:r>
      <w:r w:rsidR="00D44F62" w:rsidRPr="00D93C78">
        <w:rPr>
          <w:b/>
          <w:szCs w:val="24"/>
        </w:rPr>
        <w:t>:</w:t>
      </w:r>
      <w:r w:rsidR="00F60798" w:rsidRPr="00D93C78">
        <w:rPr>
          <w:szCs w:val="24"/>
        </w:rPr>
        <w:t xml:space="preserve"> No hydrolysis study is available for </w:t>
      </w:r>
      <w:r w:rsidRPr="00D93C78">
        <w:rPr>
          <w:b/>
          <w:szCs w:val="24"/>
        </w:rPr>
        <w:t>VTCS</w:t>
      </w:r>
      <w:r w:rsidR="00F60798" w:rsidRPr="00D93C78">
        <w:rPr>
          <w:szCs w:val="24"/>
        </w:rPr>
        <w:t xml:space="preserve">. However, a reliable study according to OECD 111 is available for the related substance </w:t>
      </w:r>
      <w:r w:rsidR="00086B26" w:rsidRPr="00D93C78">
        <w:rPr>
          <w:szCs w:val="24"/>
        </w:rPr>
        <w:t>MTCS</w:t>
      </w:r>
      <w:r w:rsidR="00F60798" w:rsidRPr="00D93C78">
        <w:rPr>
          <w:szCs w:val="24"/>
        </w:rPr>
        <w:t xml:space="preserve"> (CAS No. 75-79-6), which is fully hydrolysed within a few minutes at pH 4, 7 and 9 and 1.5°C</w:t>
      </w:r>
      <w:r w:rsidR="001F6523" w:rsidRPr="00D93C78">
        <w:rPr>
          <w:szCs w:val="24"/>
        </w:rPr>
        <w:t xml:space="preserve"> (Miller  and  Kozerski, 2001). </w:t>
      </w:r>
      <w:r w:rsidR="00F60798" w:rsidRPr="00D93C78">
        <w:rPr>
          <w:szCs w:val="24"/>
        </w:rPr>
        <w:t xml:space="preserve">  </w:t>
      </w:r>
      <w:r w:rsidR="001F6523" w:rsidRPr="00D93C78">
        <w:rPr>
          <w:szCs w:val="24"/>
        </w:rPr>
        <w:t xml:space="preserve">The expected initial hydrolysis products for </w:t>
      </w:r>
      <w:r w:rsidRPr="00D93C78">
        <w:rPr>
          <w:b/>
          <w:szCs w:val="24"/>
        </w:rPr>
        <w:t>VTCS</w:t>
      </w:r>
      <w:r w:rsidR="001F6523" w:rsidRPr="00D93C78">
        <w:rPr>
          <w:szCs w:val="24"/>
        </w:rPr>
        <w:t xml:space="preserve"> are </w:t>
      </w:r>
      <w:r w:rsidRPr="00D93C78">
        <w:rPr>
          <w:szCs w:val="24"/>
        </w:rPr>
        <w:t>vinyl</w:t>
      </w:r>
      <w:r w:rsidR="001F6523" w:rsidRPr="00D93C78">
        <w:rPr>
          <w:szCs w:val="24"/>
        </w:rPr>
        <w:t>silanetriol and hydrogen chloride.</w:t>
      </w:r>
    </w:p>
    <w:p w:rsidR="00F60798" w:rsidRPr="00D93C78" w:rsidRDefault="005728C8" w:rsidP="00D93C78">
      <w:pPr>
        <w:pStyle w:val="BodyText"/>
        <w:rPr>
          <w:szCs w:val="24"/>
        </w:rPr>
      </w:pPr>
      <w:r w:rsidRPr="00D93C78">
        <w:rPr>
          <w:szCs w:val="24"/>
        </w:rPr>
        <w:t xml:space="preserve">Observed rates of hydrolysis were so rapid that it was not possible to distinguish among the different pH conditions.  </w:t>
      </w:r>
      <w:r w:rsidR="001F6523" w:rsidRPr="00D93C78">
        <w:rPr>
          <w:szCs w:val="24"/>
        </w:rPr>
        <w:t>Rapid hydrolysis has been shown for</w:t>
      </w:r>
      <w:r w:rsidR="00F60798" w:rsidRPr="00D93C78">
        <w:rPr>
          <w:szCs w:val="24"/>
        </w:rPr>
        <w:t xml:space="preserve"> other chlorosilanes for which measured data </w:t>
      </w:r>
      <w:r w:rsidR="00921A4C" w:rsidRPr="00D93C78">
        <w:rPr>
          <w:szCs w:val="24"/>
        </w:rPr>
        <w:t>are</w:t>
      </w:r>
      <w:r w:rsidR="00F60798" w:rsidRPr="00D93C78">
        <w:rPr>
          <w:szCs w:val="24"/>
        </w:rPr>
        <w:t xml:space="preserve"> available. Therefore, it can be concluded that the sponsored substances will hydrolyse rapidly under environmentally relevant conditions and no further testing is necessary.</w:t>
      </w:r>
    </w:p>
    <w:p w:rsidR="00C1433D" w:rsidRPr="00D93C78" w:rsidRDefault="00C1433D" w:rsidP="00D93C78">
      <w:pPr>
        <w:pStyle w:val="Heading3"/>
        <w:numPr>
          <w:ilvl w:val="0"/>
          <w:numId w:val="0"/>
        </w:numPr>
        <w:tabs>
          <w:tab w:val="clear" w:pos="2160"/>
        </w:tabs>
        <w:jc w:val="both"/>
        <w:rPr>
          <w:rFonts w:ascii="Times New Roman" w:hAnsi="Times New Roman"/>
          <w:szCs w:val="24"/>
        </w:rPr>
      </w:pPr>
      <w:bookmarkStart w:id="60" w:name="_Toc32726020"/>
      <w:bookmarkStart w:id="61" w:name="_Toc32727203"/>
      <w:bookmarkStart w:id="62" w:name="_Toc43868651"/>
      <w:bookmarkStart w:id="63" w:name="_Toc200358239"/>
      <w:bookmarkStart w:id="64" w:name="_Toc310335180"/>
      <w:r w:rsidRPr="00D93C78">
        <w:rPr>
          <w:rFonts w:ascii="Times New Roman" w:hAnsi="Times New Roman"/>
          <w:szCs w:val="24"/>
        </w:rPr>
        <w:t>2.2.4</w:t>
      </w:r>
      <w:r w:rsidRPr="00D93C78">
        <w:rPr>
          <w:rFonts w:ascii="Times New Roman" w:hAnsi="Times New Roman"/>
          <w:szCs w:val="24"/>
        </w:rPr>
        <w:tab/>
        <w:t>Transport between Environmental Compartments</w:t>
      </w:r>
      <w:bookmarkEnd w:id="60"/>
      <w:bookmarkEnd w:id="61"/>
      <w:bookmarkEnd w:id="62"/>
      <w:bookmarkEnd w:id="63"/>
      <w:bookmarkEnd w:id="64"/>
    </w:p>
    <w:p w:rsidR="00C1433D" w:rsidRPr="00D93C78" w:rsidRDefault="00C1433D" w:rsidP="00D93C78">
      <w:pPr>
        <w:tabs>
          <w:tab w:val="left" w:pos="3960"/>
        </w:tabs>
        <w:spacing w:before="240"/>
        <w:jc w:val="both"/>
        <w:rPr>
          <w:rStyle w:val="Hyperlink"/>
          <w:snapToGrid w:val="0"/>
          <w:sz w:val="24"/>
          <w:lang w:eastAsia="da-DK"/>
        </w:rPr>
      </w:pPr>
      <w:r w:rsidRPr="00D93C78">
        <w:t xml:space="preserve">The Level III Fugacity model was used to evaluate the fate, transport and distribution of </w:t>
      </w:r>
      <w:r w:rsidRPr="00D93C78">
        <w:rPr>
          <w:bCs/>
        </w:rPr>
        <w:t xml:space="preserve">the </w:t>
      </w:r>
      <w:r w:rsidR="002A7BF8" w:rsidRPr="00D93C78">
        <w:rPr>
          <w:bCs/>
        </w:rPr>
        <w:t>vinyl</w:t>
      </w:r>
      <w:r w:rsidR="00413FFD" w:rsidRPr="00D93C78">
        <w:rPr>
          <w:bCs/>
        </w:rPr>
        <w:t xml:space="preserve"> chlorosilanes</w:t>
      </w:r>
      <w:r w:rsidR="00C54AD4" w:rsidRPr="00D93C78">
        <w:rPr>
          <w:bCs/>
        </w:rPr>
        <w:t xml:space="preserve"> </w:t>
      </w:r>
      <w:r w:rsidR="00614356" w:rsidRPr="00D93C78">
        <w:rPr>
          <w:bCs/>
        </w:rPr>
        <w:t>and the associated hydrolysis products</w:t>
      </w:r>
      <w:r w:rsidRPr="00D93C78">
        <w:rPr>
          <w:bCs/>
        </w:rPr>
        <w:t xml:space="preserve"> </w:t>
      </w:r>
      <w:r w:rsidRPr="00D93C78">
        <w:t>between environmental matrices.</w:t>
      </w:r>
      <w:r w:rsidR="00276B1D" w:rsidRPr="00D93C78">
        <w:t xml:space="preserve"> </w:t>
      </w:r>
      <w:r w:rsidRPr="00D93C78">
        <w:t xml:space="preserve"> </w:t>
      </w:r>
      <w:r w:rsidR="00276B1D" w:rsidRPr="00D93C78">
        <w:t>The</w:t>
      </w:r>
      <w:r w:rsidRPr="00D93C78">
        <w:t xml:space="preserve"> results of </w:t>
      </w:r>
      <w:r w:rsidRPr="00D93C78">
        <w:rPr>
          <w:lang w:val="en-GB"/>
        </w:rPr>
        <w:t>Level III fugacity modelling, using equal loading rates of 1000 kg/h each for air, soil and water</w:t>
      </w:r>
      <w:r w:rsidR="005728C8" w:rsidRPr="00D93C78">
        <w:rPr>
          <w:lang w:val="en-GB"/>
        </w:rPr>
        <w:t xml:space="preserve"> compartments</w:t>
      </w:r>
      <w:r w:rsidRPr="00D93C78">
        <w:rPr>
          <w:lang w:val="en-GB"/>
        </w:rPr>
        <w:t xml:space="preserve"> </w:t>
      </w:r>
      <w:r w:rsidR="001F6523" w:rsidRPr="00D93C78">
        <w:rPr>
          <w:lang w:val="en-GB"/>
        </w:rPr>
        <w:t xml:space="preserve">are presented in Table </w:t>
      </w:r>
      <w:r w:rsidR="00EF1F1D" w:rsidRPr="00D93C78">
        <w:rPr>
          <w:lang w:val="en-GB"/>
        </w:rPr>
        <w:t>7</w:t>
      </w:r>
      <w:r w:rsidR="005728C8" w:rsidRPr="00D93C78">
        <w:rPr>
          <w:lang w:val="en-GB"/>
        </w:rPr>
        <w:t xml:space="preserve">, and </w:t>
      </w:r>
      <w:r w:rsidR="005728C8" w:rsidRPr="00D93C78">
        <w:t>suggest that the vinyl chlorosilanes will distribute mainly to the air  (ca. 48 %) and soil (ca. 47%) compartments, with minor distribution to water (ca. 5%) and negligible distribution to sediments (&lt;0.1)</w:t>
      </w:r>
      <w:r w:rsidR="001F6523" w:rsidRPr="00D93C78">
        <w:rPr>
          <w:lang w:val="en-GB"/>
        </w:rPr>
        <w:t xml:space="preserve">.  </w:t>
      </w:r>
      <w:r w:rsidR="00B5269F" w:rsidRPr="00D93C78">
        <w:rPr>
          <w:lang w:val="en-GB"/>
        </w:rPr>
        <w:t xml:space="preserve">Since the parent materials are not expected to be released to soil or water based on its uses and handling, a scenario of 100% emission to air is more realistic.  When the vinyl chlorosilanes are released to air exclusively, the fugacity model predicts that 99.8% is reacted. The unreacted 0.2% remains in air (100%). </w:t>
      </w:r>
      <w:r w:rsidR="005728C8" w:rsidRPr="00D93C78">
        <w:t xml:space="preserve">Level III fugacity modeling using equal loading rates of 1000 kg/h each for air, soil and water predicts that the </w:t>
      </w:r>
      <w:r w:rsidR="005728C8" w:rsidRPr="00D93C78">
        <w:rPr>
          <w:b/>
        </w:rPr>
        <w:t>hydrolysis products</w:t>
      </w:r>
      <w:r w:rsidR="005728C8" w:rsidRPr="00D93C78">
        <w:t xml:space="preserve">  will distribute mainly to soil (c. 70-80 %), with a smaller fraction to water (ca. 20-27 %) and negligible amounts to sediment and air.  </w:t>
      </w:r>
      <w:r w:rsidR="006C09F1" w:rsidRPr="00D93C78">
        <w:t xml:space="preserve">Based on the more realistic scenario of 100% release to air, the model predicts that vinylmethylsilanediol and vinylsilanetriol will be distributed mainly in soil (ca. 93%) and water (ca. 7%).  </w:t>
      </w:r>
      <w:r w:rsidR="00B5269F" w:rsidRPr="00D93C78">
        <w:rPr>
          <w:lang w:val="en-GB"/>
        </w:rPr>
        <w:t xml:space="preserve">The modeling results show that the environmental fate of the vinyl chlorosilanes is controlled by its high reactivity with water in all compartments. </w:t>
      </w:r>
      <w:r w:rsidR="00276B1D" w:rsidRPr="00D93C78">
        <w:rPr>
          <w:snapToGrid w:val="0"/>
        </w:rPr>
        <w:t>Fugacity modeling of HCl is not applicable</w:t>
      </w:r>
      <w:r w:rsidR="00CC3368" w:rsidRPr="00D93C78">
        <w:rPr>
          <w:snapToGrid w:val="0"/>
        </w:rPr>
        <w:t xml:space="preserve"> (</w:t>
      </w:r>
      <w:hyperlink r:id="rId32" w:history="1">
        <w:r w:rsidR="00CC3368" w:rsidRPr="00D93C78">
          <w:rPr>
            <w:rStyle w:val="Hyperlink"/>
            <w:sz w:val="24"/>
          </w:rPr>
          <w:t>http://www.oecd.org/env/hazard/data</w:t>
        </w:r>
      </w:hyperlink>
      <w:r w:rsidR="00CC3368" w:rsidRPr="00D93C78">
        <w:t>)</w:t>
      </w:r>
      <w:r w:rsidR="004F5FB9" w:rsidRPr="00D93C78">
        <w:rPr>
          <w:snapToGrid w:val="0"/>
        </w:rPr>
        <w:t>.</w:t>
      </w:r>
      <w:r w:rsidR="00276B1D" w:rsidRPr="00D93C78">
        <w:rPr>
          <w:snapToGrid w:val="0"/>
        </w:rPr>
        <w:t xml:space="preserve"> </w:t>
      </w:r>
    </w:p>
    <w:p w:rsidR="001F6523" w:rsidRPr="00D93C78" w:rsidRDefault="00740E9A" w:rsidP="004204A4">
      <w:pPr>
        <w:pStyle w:val="Caption"/>
        <w:ind w:hanging="839"/>
        <w:jc w:val="both"/>
        <w:rPr>
          <w:rFonts w:ascii="Times New Roman" w:hAnsi="Times New Roman"/>
          <w:szCs w:val="24"/>
        </w:rPr>
      </w:pPr>
      <w:bookmarkStart w:id="65" w:name="_Toc282678008"/>
      <w:bookmarkStart w:id="66" w:name="_Toc310335206"/>
      <w:r>
        <w:rPr>
          <w:rFonts w:ascii="Times New Roman" w:hAnsi="Times New Roman"/>
          <w:szCs w:val="24"/>
        </w:rPr>
        <w:t xml:space="preserve"> </w:t>
      </w:r>
      <w:r w:rsidR="001F6523" w:rsidRPr="00D93C78">
        <w:rPr>
          <w:rFonts w:ascii="Times New Roman" w:hAnsi="Times New Roman"/>
          <w:szCs w:val="24"/>
        </w:rPr>
        <w:t xml:space="preserve">Table </w:t>
      </w:r>
      <w:r w:rsidR="00EF1F1D" w:rsidRPr="00D93C78">
        <w:rPr>
          <w:rFonts w:ascii="Times New Roman" w:hAnsi="Times New Roman"/>
          <w:szCs w:val="24"/>
        </w:rPr>
        <w:t>7</w:t>
      </w:r>
      <w:r w:rsidR="001F6523" w:rsidRPr="00D93C78">
        <w:rPr>
          <w:rFonts w:ascii="Times New Roman" w:hAnsi="Times New Roman"/>
          <w:szCs w:val="24"/>
        </w:rPr>
        <w:t>.</w:t>
      </w:r>
      <w:r w:rsidR="00D67A69">
        <w:rPr>
          <w:rFonts w:ascii="Times New Roman" w:hAnsi="Times New Roman"/>
          <w:szCs w:val="24"/>
        </w:rPr>
        <w:t xml:space="preserve">   </w:t>
      </w:r>
      <w:r w:rsidR="001F6523" w:rsidRPr="00D93C78">
        <w:rPr>
          <w:rFonts w:ascii="Times New Roman" w:hAnsi="Times New Roman"/>
          <w:szCs w:val="24"/>
        </w:rPr>
        <w:t>Summary of Level III fugacity data</w:t>
      </w:r>
      <w:bookmarkEnd w:id="65"/>
      <w:bookmarkEnd w:id="66"/>
      <w:r w:rsidR="00B5269F" w:rsidRPr="00D93C78">
        <w:rPr>
          <w:rFonts w:ascii="Times New Roman" w:hAnsi="Times New Roman"/>
          <w:szCs w:val="24"/>
        </w:rPr>
        <w:t xml:space="preserve"> (equal distribution)</w:t>
      </w:r>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768"/>
        <w:gridCol w:w="3217"/>
        <w:gridCol w:w="2574"/>
      </w:tblGrid>
      <w:tr w:rsidR="001F6523" w:rsidRPr="004204A4" w:rsidTr="004204A4">
        <w:tc>
          <w:tcPr>
            <w:tcW w:w="3690" w:type="dxa"/>
            <w:tcBorders>
              <w:top w:val="single" w:sz="12" w:space="0" w:color="auto"/>
              <w:bottom w:val="single" w:sz="12" w:space="0" w:color="auto"/>
            </w:tcBorders>
          </w:tcPr>
          <w:p w:rsidR="001F6523" w:rsidRPr="004204A4" w:rsidRDefault="001F6523" w:rsidP="004204A4">
            <w:pPr>
              <w:pStyle w:val="Tabletext"/>
              <w:jc w:val="center"/>
              <w:rPr>
                <w:b/>
                <w:bCs/>
              </w:rPr>
            </w:pPr>
            <w:r w:rsidRPr="004204A4">
              <w:rPr>
                <w:b/>
                <w:bCs/>
              </w:rPr>
              <w:t>Substance</w:t>
            </w:r>
          </w:p>
        </w:tc>
        <w:tc>
          <w:tcPr>
            <w:tcW w:w="3150" w:type="dxa"/>
            <w:tcBorders>
              <w:top w:val="single" w:sz="12" w:space="0" w:color="auto"/>
              <w:bottom w:val="single" w:sz="12" w:space="0" w:color="auto"/>
            </w:tcBorders>
          </w:tcPr>
          <w:p w:rsidR="001F6523" w:rsidRPr="004204A4" w:rsidRDefault="001F6523" w:rsidP="004204A4">
            <w:pPr>
              <w:pStyle w:val="Tabletext"/>
              <w:jc w:val="center"/>
              <w:rPr>
                <w:b/>
                <w:bCs/>
              </w:rPr>
            </w:pPr>
            <w:r w:rsidRPr="004204A4">
              <w:rPr>
                <w:b/>
                <w:bCs/>
              </w:rPr>
              <w:t>% Distribution (</w:t>
            </w:r>
            <w:r w:rsidRPr="004204A4">
              <w:rPr>
                <w:b/>
                <w:color w:val="000000"/>
              </w:rPr>
              <w:t>air/water/soil/sediment)</w:t>
            </w:r>
          </w:p>
        </w:tc>
        <w:tc>
          <w:tcPr>
            <w:tcW w:w="2520" w:type="dxa"/>
            <w:tcBorders>
              <w:top w:val="single" w:sz="12" w:space="0" w:color="auto"/>
              <w:bottom w:val="single" w:sz="12" w:space="0" w:color="auto"/>
            </w:tcBorders>
          </w:tcPr>
          <w:p w:rsidR="001F6523" w:rsidRPr="004204A4" w:rsidRDefault="001F6523" w:rsidP="004204A4">
            <w:pPr>
              <w:pStyle w:val="Tabletext"/>
              <w:jc w:val="center"/>
              <w:rPr>
                <w:b/>
                <w:bCs/>
              </w:rPr>
            </w:pPr>
            <w:r w:rsidRPr="004204A4">
              <w:rPr>
                <w:b/>
                <w:bCs/>
              </w:rPr>
              <w:t>Reference</w:t>
            </w:r>
          </w:p>
        </w:tc>
      </w:tr>
      <w:tr w:rsidR="00EA3C6C" w:rsidRPr="004204A4" w:rsidTr="004204A4">
        <w:tc>
          <w:tcPr>
            <w:tcW w:w="3690" w:type="dxa"/>
            <w:tcBorders>
              <w:top w:val="single" w:sz="12" w:space="0" w:color="auto"/>
            </w:tcBorders>
            <w:vAlign w:val="center"/>
          </w:tcPr>
          <w:p w:rsidR="00EA3C6C" w:rsidRPr="004204A4" w:rsidRDefault="00EA3C6C" w:rsidP="004204A4">
            <w:pPr>
              <w:pStyle w:val="Tabletext"/>
              <w:jc w:val="center"/>
              <w:rPr>
                <w:b/>
              </w:rPr>
            </w:pPr>
            <w:r w:rsidRPr="004204A4">
              <w:rPr>
                <w:b/>
              </w:rPr>
              <w:t>VDCS</w:t>
            </w:r>
          </w:p>
        </w:tc>
        <w:tc>
          <w:tcPr>
            <w:tcW w:w="3150" w:type="dxa"/>
            <w:tcBorders>
              <w:top w:val="single" w:sz="12" w:space="0" w:color="auto"/>
            </w:tcBorders>
            <w:vAlign w:val="center"/>
          </w:tcPr>
          <w:p w:rsidR="00EA3C6C" w:rsidRPr="004204A4" w:rsidRDefault="00EA3C6C" w:rsidP="004204A4">
            <w:pPr>
              <w:pStyle w:val="Tabletext"/>
              <w:spacing w:before="0" w:after="0"/>
              <w:jc w:val="center"/>
            </w:pPr>
            <w:r w:rsidRPr="004204A4">
              <w:t>47.9/4.8/47.3/&lt;0.1</w:t>
            </w:r>
          </w:p>
        </w:tc>
        <w:tc>
          <w:tcPr>
            <w:tcW w:w="2520" w:type="dxa"/>
            <w:vMerge w:val="restart"/>
            <w:tcBorders>
              <w:top w:val="single" w:sz="12" w:space="0" w:color="auto"/>
            </w:tcBorders>
          </w:tcPr>
          <w:p w:rsidR="00EA3C6C" w:rsidRPr="004204A4" w:rsidRDefault="0009376D" w:rsidP="004204A4">
            <w:pPr>
              <w:jc w:val="center"/>
              <w:rPr>
                <w:sz w:val="20"/>
                <w:szCs w:val="20"/>
              </w:rPr>
            </w:pPr>
            <w:r w:rsidRPr="004204A4">
              <w:rPr>
                <w:sz w:val="20"/>
                <w:szCs w:val="20"/>
              </w:rPr>
              <w:t>EPI Suite (v4.10)</w:t>
            </w:r>
          </w:p>
        </w:tc>
      </w:tr>
      <w:tr w:rsidR="00EA3C6C" w:rsidRPr="004204A4" w:rsidTr="004204A4">
        <w:tc>
          <w:tcPr>
            <w:tcW w:w="3690" w:type="dxa"/>
            <w:vAlign w:val="center"/>
          </w:tcPr>
          <w:p w:rsidR="00EA3C6C" w:rsidRPr="004204A4" w:rsidRDefault="00EA3C6C" w:rsidP="004204A4">
            <w:pPr>
              <w:pStyle w:val="Tabletext"/>
              <w:jc w:val="center"/>
            </w:pPr>
            <w:r w:rsidRPr="004204A4">
              <w:t>Hydrolysis product: vinylmethylsilanediol</w:t>
            </w:r>
          </w:p>
        </w:tc>
        <w:tc>
          <w:tcPr>
            <w:tcW w:w="3150" w:type="dxa"/>
            <w:vAlign w:val="center"/>
          </w:tcPr>
          <w:p w:rsidR="00EA3C6C" w:rsidRPr="004204A4" w:rsidRDefault="00EB5CE7" w:rsidP="004204A4">
            <w:pPr>
              <w:pStyle w:val="Tabletext"/>
              <w:spacing w:before="0" w:after="0"/>
              <w:jc w:val="center"/>
            </w:pPr>
            <w:r w:rsidRPr="004204A4">
              <w:t>0.2/21.8/77.9/0.1</w:t>
            </w:r>
          </w:p>
        </w:tc>
        <w:tc>
          <w:tcPr>
            <w:tcW w:w="2520" w:type="dxa"/>
            <w:vMerge/>
          </w:tcPr>
          <w:p w:rsidR="00EA3C6C" w:rsidRPr="004204A4" w:rsidRDefault="00EA3C6C" w:rsidP="004204A4">
            <w:pPr>
              <w:jc w:val="center"/>
              <w:rPr>
                <w:sz w:val="20"/>
                <w:szCs w:val="20"/>
              </w:rPr>
            </w:pPr>
          </w:p>
        </w:tc>
      </w:tr>
      <w:tr w:rsidR="00EA3C6C" w:rsidRPr="004204A4" w:rsidTr="004204A4">
        <w:tc>
          <w:tcPr>
            <w:tcW w:w="3690" w:type="dxa"/>
            <w:vAlign w:val="center"/>
          </w:tcPr>
          <w:p w:rsidR="00EA3C6C" w:rsidRPr="004204A4" w:rsidRDefault="00EA3C6C" w:rsidP="004204A4">
            <w:pPr>
              <w:pStyle w:val="Tabletext"/>
              <w:autoSpaceDE w:val="0"/>
              <w:autoSpaceDN w:val="0"/>
              <w:ind w:left="57"/>
              <w:jc w:val="center"/>
              <w:rPr>
                <w:b/>
              </w:rPr>
            </w:pPr>
            <w:r w:rsidRPr="004204A4">
              <w:rPr>
                <w:b/>
              </w:rPr>
              <w:t>VTCS</w:t>
            </w:r>
          </w:p>
        </w:tc>
        <w:tc>
          <w:tcPr>
            <w:tcW w:w="3150" w:type="dxa"/>
            <w:vAlign w:val="center"/>
          </w:tcPr>
          <w:p w:rsidR="00EA3C6C" w:rsidRPr="004204A4" w:rsidRDefault="00EA3C6C" w:rsidP="004204A4">
            <w:pPr>
              <w:pStyle w:val="Tabletext"/>
              <w:spacing w:before="0" w:after="0"/>
              <w:jc w:val="center"/>
            </w:pPr>
            <w:r w:rsidRPr="004204A4">
              <w:t>47.7/4.7/47.6/&lt;0.1</w:t>
            </w:r>
          </w:p>
        </w:tc>
        <w:tc>
          <w:tcPr>
            <w:tcW w:w="2520" w:type="dxa"/>
            <w:vMerge/>
          </w:tcPr>
          <w:p w:rsidR="00EA3C6C" w:rsidRPr="004204A4" w:rsidRDefault="00EA3C6C" w:rsidP="004204A4">
            <w:pPr>
              <w:jc w:val="center"/>
              <w:rPr>
                <w:sz w:val="20"/>
                <w:szCs w:val="20"/>
              </w:rPr>
            </w:pPr>
          </w:p>
        </w:tc>
      </w:tr>
      <w:tr w:rsidR="00EA3C6C" w:rsidRPr="004204A4" w:rsidTr="004204A4">
        <w:tc>
          <w:tcPr>
            <w:tcW w:w="3690" w:type="dxa"/>
            <w:vAlign w:val="center"/>
          </w:tcPr>
          <w:p w:rsidR="00EA3C6C" w:rsidRPr="004204A4" w:rsidRDefault="00EA3C6C" w:rsidP="004204A4">
            <w:pPr>
              <w:pStyle w:val="Tabletext"/>
              <w:jc w:val="center"/>
              <w:rPr>
                <w:b/>
              </w:rPr>
            </w:pPr>
            <w:r w:rsidRPr="004204A4">
              <w:t>Hydrolysis product: vinylsilanetriol</w:t>
            </w:r>
          </w:p>
        </w:tc>
        <w:tc>
          <w:tcPr>
            <w:tcW w:w="3150" w:type="dxa"/>
            <w:vAlign w:val="center"/>
          </w:tcPr>
          <w:p w:rsidR="00EA3C6C" w:rsidRPr="004204A4" w:rsidRDefault="00EB5CE7" w:rsidP="004204A4">
            <w:pPr>
              <w:pStyle w:val="Tabletext"/>
              <w:spacing w:before="0" w:after="0"/>
              <w:jc w:val="center"/>
            </w:pPr>
            <w:r w:rsidRPr="004204A4">
              <w:t>&lt;0.1/19.8/80.1/0.1</w:t>
            </w:r>
          </w:p>
        </w:tc>
        <w:tc>
          <w:tcPr>
            <w:tcW w:w="2520" w:type="dxa"/>
            <w:vMerge/>
          </w:tcPr>
          <w:p w:rsidR="00EA3C6C" w:rsidRPr="004204A4" w:rsidRDefault="00EA3C6C" w:rsidP="004204A4">
            <w:pPr>
              <w:jc w:val="center"/>
              <w:rPr>
                <w:sz w:val="20"/>
                <w:szCs w:val="20"/>
              </w:rPr>
            </w:pPr>
          </w:p>
        </w:tc>
      </w:tr>
    </w:tbl>
    <w:p w:rsidR="00C1433D" w:rsidRPr="00D93C78" w:rsidRDefault="00C1433D" w:rsidP="00D93C78">
      <w:pPr>
        <w:pStyle w:val="Heading3"/>
        <w:numPr>
          <w:ilvl w:val="0"/>
          <w:numId w:val="0"/>
        </w:numPr>
        <w:tabs>
          <w:tab w:val="clear" w:pos="2160"/>
        </w:tabs>
        <w:jc w:val="both"/>
        <w:rPr>
          <w:rFonts w:ascii="Times New Roman" w:hAnsi="Times New Roman"/>
          <w:szCs w:val="24"/>
        </w:rPr>
      </w:pPr>
      <w:bookmarkStart w:id="67" w:name="_Toc32726021"/>
      <w:bookmarkStart w:id="68" w:name="_Toc32727204"/>
      <w:bookmarkStart w:id="69" w:name="_Toc43868652"/>
      <w:bookmarkStart w:id="70" w:name="_Toc200358240"/>
      <w:bookmarkStart w:id="71" w:name="_Toc310335181"/>
      <w:r w:rsidRPr="00D93C78">
        <w:rPr>
          <w:rFonts w:ascii="Times New Roman" w:hAnsi="Times New Roman"/>
          <w:szCs w:val="24"/>
        </w:rPr>
        <w:t>2.2.5</w:t>
      </w:r>
      <w:r w:rsidRPr="00D93C78">
        <w:rPr>
          <w:rFonts w:ascii="Times New Roman" w:hAnsi="Times New Roman"/>
          <w:szCs w:val="24"/>
        </w:rPr>
        <w:tab/>
        <w:t>Biodegradation</w:t>
      </w:r>
      <w:bookmarkEnd w:id="67"/>
      <w:bookmarkEnd w:id="68"/>
      <w:bookmarkEnd w:id="69"/>
      <w:bookmarkEnd w:id="70"/>
      <w:bookmarkEnd w:id="71"/>
    </w:p>
    <w:p w:rsidR="00DA5A7E" w:rsidRPr="00D93C78" w:rsidRDefault="00E0726B" w:rsidP="00D93C78">
      <w:pPr>
        <w:jc w:val="both"/>
      </w:pPr>
      <w:r w:rsidRPr="00D93C78">
        <w:rPr>
          <w:b/>
        </w:rPr>
        <w:t>VDCS</w:t>
      </w:r>
      <w:r w:rsidRPr="00D93C78">
        <w:t xml:space="preserve"> has been tested for ready biodegradability. The</w:t>
      </w:r>
      <w:r w:rsidR="00C1433D" w:rsidRPr="00D93C78">
        <w:t xml:space="preserve"> biodegradation of </w:t>
      </w:r>
      <w:r w:rsidRPr="00D93C78">
        <w:rPr>
          <w:b/>
        </w:rPr>
        <w:t>VTCS</w:t>
      </w:r>
      <w:r w:rsidR="00C54AD4" w:rsidRPr="00D93C78">
        <w:t xml:space="preserve"> </w:t>
      </w:r>
      <w:r w:rsidR="00C1433D" w:rsidRPr="00D93C78">
        <w:t>was not determined due to rapid hydrolysis; any potential for biodegradation is likely to be of the hydrolysis products.  Consequently, the only biodegradable materials in the test system will be silanols, and condensed silanol materials (high molecular weight polymers) (Chandra, 19</w:t>
      </w:r>
      <w:r w:rsidR="00FA67EA" w:rsidRPr="00D93C78">
        <w:t>9</w:t>
      </w:r>
      <w:r w:rsidR="00C1433D" w:rsidRPr="00D93C78">
        <w:t>7).</w:t>
      </w:r>
      <w:r w:rsidRPr="00D93C78">
        <w:t xml:space="preserve"> The supporting substance, VTMS has also been tested for ready biodegradability. </w:t>
      </w:r>
      <w:r w:rsidR="00FA67EA" w:rsidRPr="00D93C78">
        <w:t xml:space="preserve"> No measured data are available for the hydrolysis product</w:t>
      </w:r>
      <w:r w:rsidR="001A01ED" w:rsidRPr="00D93C78">
        <w:t>s</w:t>
      </w:r>
      <w:r w:rsidR="002E27DE" w:rsidRPr="00D93C78">
        <w:t xml:space="preserve">.  </w:t>
      </w:r>
      <w:r w:rsidR="00E871AE" w:rsidRPr="00D93C78">
        <w:t>A</w:t>
      </w:r>
      <w:r w:rsidR="00FA67EA" w:rsidRPr="00D93C78">
        <w:t xml:space="preserve">t high concentrations, </w:t>
      </w:r>
      <w:r w:rsidR="001A01ED" w:rsidRPr="00D93C78">
        <w:t>the silanols</w:t>
      </w:r>
      <w:r w:rsidR="00F00AFB" w:rsidRPr="00D93C78">
        <w:t xml:space="preserve"> </w:t>
      </w:r>
      <w:r w:rsidR="00FA67EA" w:rsidRPr="00D93C78">
        <w:t>will condense to form highly cross linked, high molecular weight polymers that are water insoluble and effectively non</w:t>
      </w:r>
      <w:r w:rsidR="00DA41CB" w:rsidRPr="00D93C78">
        <w:t>-</w:t>
      </w:r>
      <w:r w:rsidR="00FA67EA" w:rsidRPr="00D93C78">
        <w:t xml:space="preserve">biodegradable.   </w:t>
      </w:r>
    </w:p>
    <w:p w:rsidR="00DA5A7E" w:rsidRPr="00D93C78" w:rsidRDefault="00DA5A7E" w:rsidP="00D93C78">
      <w:pPr>
        <w:jc w:val="both"/>
      </w:pPr>
    </w:p>
    <w:p w:rsidR="00E0726B" w:rsidRDefault="00E0726B" w:rsidP="00D93C78">
      <w:pPr>
        <w:jc w:val="both"/>
        <w:rPr>
          <w:b/>
        </w:rPr>
      </w:pPr>
      <w:r w:rsidRPr="00D93C78">
        <w:rPr>
          <w:b/>
        </w:rPr>
        <w:t>Sponsored substance</w:t>
      </w:r>
      <w:r w:rsidR="00C720E8" w:rsidRPr="00D93C78">
        <w:rPr>
          <w:b/>
        </w:rPr>
        <w:t>s</w:t>
      </w:r>
      <w:r w:rsidRPr="00D93C78">
        <w:rPr>
          <w:b/>
        </w:rPr>
        <w:t>:</w:t>
      </w:r>
    </w:p>
    <w:p w:rsidR="00E0726B" w:rsidRPr="00D93C78" w:rsidRDefault="00E0726B" w:rsidP="00D93C78">
      <w:pPr>
        <w:jc w:val="both"/>
        <w:rPr>
          <w:b/>
        </w:rPr>
      </w:pPr>
      <w:r w:rsidRPr="00D93C78">
        <w:rPr>
          <w:b/>
        </w:rPr>
        <w:t>VDCS:</w:t>
      </w:r>
      <w:r w:rsidRPr="00D93C78">
        <w:t xml:space="preserve"> In a study conducted according to OECD TG 301 A (Ready Biodegradability: DOC Die Away Test</w:t>
      </w:r>
      <w:r w:rsidR="00DA41CB" w:rsidRPr="00D93C78">
        <w:t>)</w:t>
      </w:r>
      <w:r w:rsidRPr="00D93C78">
        <w:t>, a biodegradation rate of 0% in 28 days was determined (Baumgartner, 2009). The substance was not considered readily biodegradable.</w:t>
      </w:r>
    </w:p>
    <w:p w:rsidR="00E0726B" w:rsidRPr="00D93C78" w:rsidRDefault="00E0726B" w:rsidP="00D93C78">
      <w:pPr>
        <w:jc w:val="both"/>
        <w:rPr>
          <w:b/>
        </w:rPr>
      </w:pPr>
    </w:p>
    <w:p w:rsidR="00E0726B" w:rsidRPr="00D93C78" w:rsidRDefault="00E0726B" w:rsidP="00D93C78">
      <w:pPr>
        <w:jc w:val="both"/>
        <w:rPr>
          <w:b/>
        </w:rPr>
      </w:pPr>
      <w:r w:rsidRPr="00D93C78">
        <w:rPr>
          <w:b/>
        </w:rPr>
        <w:t xml:space="preserve">VTCS: </w:t>
      </w:r>
      <w:r w:rsidRPr="00D93C78">
        <w:t>No data located.</w:t>
      </w:r>
    </w:p>
    <w:p w:rsidR="00E0726B" w:rsidRPr="00D93C78" w:rsidRDefault="00E0726B" w:rsidP="00D93C78">
      <w:pPr>
        <w:jc w:val="both"/>
        <w:rPr>
          <w:b/>
        </w:rPr>
      </w:pPr>
    </w:p>
    <w:p w:rsidR="001B5E22" w:rsidRPr="00D93C78" w:rsidRDefault="001B5E22" w:rsidP="00D93C78">
      <w:pPr>
        <w:jc w:val="both"/>
        <w:rPr>
          <w:b/>
        </w:rPr>
      </w:pPr>
      <w:r w:rsidRPr="00D93C78">
        <w:rPr>
          <w:b/>
        </w:rPr>
        <w:t>Supporting substance:</w:t>
      </w:r>
    </w:p>
    <w:p w:rsidR="001B5E22" w:rsidRPr="00D93C78" w:rsidRDefault="00E0726B" w:rsidP="00D93C78">
      <w:pPr>
        <w:jc w:val="both"/>
      </w:pPr>
      <w:r w:rsidRPr="00D93C78">
        <w:rPr>
          <w:b/>
        </w:rPr>
        <w:t>VTMS</w:t>
      </w:r>
      <w:r w:rsidR="00D44F62" w:rsidRPr="00D93C78">
        <w:rPr>
          <w:b/>
        </w:rPr>
        <w:t>:</w:t>
      </w:r>
      <w:r w:rsidR="001B5E22" w:rsidRPr="00D93C78">
        <w:t xml:space="preserve">  </w:t>
      </w:r>
      <w:r w:rsidRPr="00D93C78">
        <w:t xml:space="preserve">VTMS is not readily biodegradable under aerobic conditions (OECD TG 301 F). Based on the rapid hydrolysis of this material, any potential for biodegradation is likely to be of the hydrolysis products. Consequently, the only biodegradable materials in the test system will be methanol, silanetriol, and condensed silanetriol materials (high molecular weight polymers). </w:t>
      </w:r>
      <w:r w:rsidR="00CC3368" w:rsidRPr="00D93C78">
        <w:t xml:space="preserve"> </w:t>
      </w:r>
      <w:r w:rsidRPr="00D93C78">
        <w:t>The hydrolysis product, methanol, is readily biodegradable; however, ethenylsilanetriol and the condensed silanetriol materials are not expected to be readily biodegradable</w:t>
      </w:r>
      <w:r w:rsidR="00CC3368" w:rsidRPr="00D93C78">
        <w:t xml:space="preserve"> (</w:t>
      </w:r>
      <w:hyperlink r:id="rId33" w:history="1">
        <w:r w:rsidR="00CC3368" w:rsidRPr="00D93C78">
          <w:rPr>
            <w:rStyle w:val="Hyperlink"/>
            <w:sz w:val="24"/>
          </w:rPr>
          <w:t>http://www.oecd.org/env/hazard/data</w:t>
        </w:r>
      </w:hyperlink>
      <w:r w:rsidR="00CC3368" w:rsidRPr="00D93C78">
        <w:t>)</w:t>
      </w:r>
      <w:r w:rsidRPr="00D93C78">
        <w:t>.</w:t>
      </w:r>
    </w:p>
    <w:p w:rsidR="001B5E22" w:rsidRPr="00D93C78" w:rsidRDefault="001B5E22" w:rsidP="00D93C78">
      <w:pPr>
        <w:jc w:val="both"/>
        <w:rPr>
          <w:b/>
        </w:rPr>
      </w:pPr>
    </w:p>
    <w:p w:rsidR="00DA5A7E" w:rsidRPr="00D93C78" w:rsidRDefault="00DA5A7E" w:rsidP="00D93C78">
      <w:pPr>
        <w:jc w:val="both"/>
        <w:rPr>
          <w:b/>
        </w:rPr>
      </w:pPr>
      <w:r w:rsidRPr="00D93C78">
        <w:rPr>
          <w:b/>
        </w:rPr>
        <w:t>Hydrolysis products</w:t>
      </w:r>
      <w:r w:rsidR="001B5E22" w:rsidRPr="00D93C78">
        <w:rPr>
          <w:b/>
        </w:rPr>
        <w:t>:</w:t>
      </w:r>
    </w:p>
    <w:p w:rsidR="00DA5A7E" w:rsidRPr="00D93C78" w:rsidRDefault="00DA5A7E" w:rsidP="00D93C78">
      <w:pPr>
        <w:jc w:val="both"/>
      </w:pPr>
      <w:r w:rsidRPr="00D93C78">
        <w:rPr>
          <w:b/>
        </w:rPr>
        <w:t>HCl</w:t>
      </w:r>
      <w:r w:rsidR="00D44F62" w:rsidRPr="00D93C78">
        <w:rPr>
          <w:b/>
        </w:rPr>
        <w:t>:</w:t>
      </w:r>
      <w:r w:rsidRPr="00D93C78">
        <w:t xml:space="preserve"> HCl is an inorganic compound and biodegradation tests are not applicable.</w:t>
      </w:r>
    </w:p>
    <w:p w:rsidR="00DA41CB" w:rsidRPr="00D93C78" w:rsidRDefault="00DA41CB" w:rsidP="00740E9A">
      <w:pPr>
        <w:keepNext/>
        <w:keepLines/>
        <w:jc w:val="both"/>
        <w:rPr>
          <w:u w:val="single"/>
        </w:rPr>
      </w:pPr>
      <w:r w:rsidRPr="00D93C78">
        <w:rPr>
          <w:u w:val="single"/>
        </w:rPr>
        <w:t>Conclusion</w:t>
      </w:r>
    </w:p>
    <w:p w:rsidR="004E537F" w:rsidRPr="00D93C78" w:rsidRDefault="008B45C5" w:rsidP="00740E9A">
      <w:pPr>
        <w:keepNext/>
        <w:keepLines/>
        <w:jc w:val="both"/>
        <w:rPr>
          <w:b/>
        </w:rPr>
      </w:pPr>
      <w:bookmarkStart w:id="72" w:name="_Toc32726022"/>
      <w:bookmarkStart w:id="73" w:name="_Toc32727205"/>
      <w:bookmarkStart w:id="74" w:name="_Toc43868653"/>
      <w:bookmarkStart w:id="75" w:name="_Toc200358241"/>
      <w:bookmarkStart w:id="76" w:name="_Toc310335182"/>
      <w:r w:rsidRPr="00D93C78">
        <w:t>The s</w:t>
      </w:r>
      <w:r w:rsidR="004E537F" w:rsidRPr="00D93C78">
        <w:t xml:space="preserve">ponsored substance, VDCS, was not readily biodegradable in an OECD TG 301A test and </w:t>
      </w:r>
      <w:r w:rsidRPr="00D93C78">
        <w:t xml:space="preserve">the </w:t>
      </w:r>
      <w:r w:rsidR="004E537F" w:rsidRPr="00D93C78">
        <w:t>supporting substance</w:t>
      </w:r>
      <w:r w:rsidR="0009376D" w:rsidRPr="00D93C78">
        <w:t>,</w:t>
      </w:r>
      <w:r w:rsidR="004E537F" w:rsidRPr="00D93C78">
        <w:t xml:space="preserve"> VTMS</w:t>
      </w:r>
      <w:r w:rsidR="0009376D" w:rsidRPr="00D93C78">
        <w:t>,</w:t>
      </w:r>
      <w:r w:rsidR="004E537F" w:rsidRPr="00D93C78">
        <w:t xml:space="preserve"> was not readily biodegradable in an OECD TG 301F test. Based on this information, </w:t>
      </w:r>
      <w:r w:rsidRPr="00D93C78">
        <w:t xml:space="preserve">the </w:t>
      </w:r>
      <w:r w:rsidR="004E537F" w:rsidRPr="00D93C78">
        <w:t xml:space="preserve">sponsored substance VTCS </w:t>
      </w:r>
      <w:r w:rsidR="0009376D" w:rsidRPr="00D93C78">
        <w:t>is</w:t>
      </w:r>
      <w:r w:rsidR="004E537F" w:rsidRPr="00D93C78">
        <w:t xml:space="preserve"> not expected to be readily biodegradable. Due to rapid hydrolysis of the sponsored and supporting substance</w:t>
      </w:r>
      <w:r w:rsidR="0009376D" w:rsidRPr="00D93C78">
        <w:t>s</w:t>
      </w:r>
      <w:r w:rsidR="004E537F" w:rsidRPr="00D93C78">
        <w:t>, any potential for biodegradation is likely to be of the hydrolysis products.  Consequently, the only biodegradable materials in the test system will be silanols, and condensed silanol materials (high molecular weight polymers). At high concentrations, the silanols will condense to form highly cross</w:t>
      </w:r>
      <w:r w:rsidRPr="00D93C78">
        <w:t>-</w:t>
      </w:r>
      <w:r w:rsidR="004E537F" w:rsidRPr="00D93C78">
        <w:t>linked, high molecular weight polymers that are water insoluble and effectively nonbiodegradable.</w:t>
      </w:r>
    </w:p>
    <w:p w:rsidR="00C1433D" w:rsidRPr="00D93C78" w:rsidRDefault="00C1433D" w:rsidP="00D93C78">
      <w:pPr>
        <w:pStyle w:val="Heading3"/>
        <w:numPr>
          <w:ilvl w:val="0"/>
          <w:numId w:val="0"/>
        </w:numPr>
        <w:tabs>
          <w:tab w:val="clear" w:pos="2160"/>
        </w:tabs>
        <w:jc w:val="both"/>
        <w:rPr>
          <w:rFonts w:ascii="Times New Roman" w:hAnsi="Times New Roman"/>
          <w:szCs w:val="24"/>
        </w:rPr>
      </w:pPr>
      <w:r w:rsidRPr="00D93C78">
        <w:rPr>
          <w:rFonts w:ascii="Times New Roman" w:hAnsi="Times New Roman"/>
          <w:szCs w:val="24"/>
        </w:rPr>
        <w:t>2.2.6</w:t>
      </w:r>
      <w:r w:rsidRPr="00D93C78">
        <w:rPr>
          <w:rFonts w:ascii="Times New Roman" w:hAnsi="Times New Roman"/>
          <w:szCs w:val="24"/>
        </w:rPr>
        <w:tab/>
        <w:t>Bioaccumulation</w:t>
      </w:r>
      <w:bookmarkEnd w:id="72"/>
      <w:bookmarkEnd w:id="73"/>
      <w:bookmarkEnd w:id="74"/>
      <w:bookmarkEnd w:id="75"/>
      <w:bookmarkEnd w:id="76"/>
    </w:p>
    <w:p w:rsidR="00C1433D" w:rsidRPr="00D93C78" w:rsidRDefault="00C1433D" w:rsidP="00D93C78">
      <w:pPr>
        <w:pStyle w:val="BodyText"/>
        <w:rPr>
          <w:szCs w:val="24"/>
        </w:rPr>
      </w:pPr>
      <w:r w:rsidRPr="00D93C78">
        <w:rPr>
          <w:szCs w:val="24"/>
          <w:lang w:val="en-US"/>
        </w:rPr>
        <w:t>The b</w:t>
      </w:r>
      <w:r w:rsidR="00FA67EA" w:rsidRPr="00D93C78">
        <w:rPr>
          <w:szCs w:val="24"/>
          <w:lang w:val="en-US"/>
        </w:rPr>
        <w:t xml:space="preserve">ioaccumulation potential of </w:t>
      </w:r>
      <w:r w:rsidR="001A01ED" w:rsidRPr="00D93C78">
        <w:rPr>
          <w:szCs w:val="24"/>
          <w:lang w:val="en-US"/>
        </w:rPr>
        <w:t xml:space="preserve">the </w:t>
      </w:r>
      <w:r w:rsidR="00DA41CB" w:rsidRPr="00D93C78">
        <w:rPr>
          <w:szCs w:val="24"/>
          <w:lang w:val="en-US"/>
        </w:rPr>
        <w:t>vinyl</w:t>
      </w:r>
      <w:r w:rsidR="00413FFD" w:rsidRPr="00D93C78">
        <w:rPr>
          <w:szCs w:val="24"/>
          <w:lang w:val="en-US"/>
        </w:rPr>
        <w:t xml:space="preserve"> chlorosilanes</w:t>
      </w:r>
      <w:r w:rsidR="00C54AD4" w:rsidRPr="00D93C78">
        <w:rPr>
          <w:szCs w:val="24"/>
          <w:lang w:val="en-US"/>
        </w:rPr>
        <w:t xml:space="preserve"> </w:t>
      </w:r>
      <w:r w:rsidRPr="00D93C78">
        <w:rPr>
          <w:szCs w:val="24"/>
          <w:lang w:val="en-US"/>
        </w:rPr>
        <w:t>was not determined due to rapid hydrolysis</w:t>
      </w:r>
      <w:r w:rsidR="003C0E3D" w:rsidRPr="00D93C78">
        <w:rPr>
          <w:szCs w:val="24"/>
          <w:lang w:val="en-US"/>
        </w:rPr>
        <w:t xml:space="preserve">. </w:t>
      </w:r>
      <w:r w:rsidR="007C332C" w:rsidRPr="00D93C78">
        <w:rPr>
          <w:szCs w:val="24"/>
          <w:lang w:val="en-US"/>
        </w:rPr>
        <w:t>The</w:t>
      </w:r>
      <w:r w:rsidR="00FA67EA" w:rsidRPr="00D93C78">
        <w:rPr>
          <w:szCs w:val="24"/>
          <w:lang w:val="en-US"/>
        </w:rPr>
        <w:t xml:space="preserve"> estimated BCF</w:t>
      </w:r>
      <w:r w:rsidR="007C332C" w:rsidRPr="00D93C78">
        <w:rPr>
          <w:szCs w:val="24"/>
          <w:lang w:val="en-US"/>
        </w:rPr>
        <w:t>s</w:t>
      </w:r>
      <w:r w:rsidR="00FA67EA" w:rsidRPr="00D93C78">
        <w:rPr>
          <w:szCs w:val="24"/>
          <w:lang w:val="en-US"/>
        </w:rPr>
        <w:t xml:space="preserve"> using the BCFBAF Program (v3.01) </w:t>
      </w:r>
      <w:r w:rsidR="007C332C" w:rsidRPr="00D93C78">
        <w:rPr>
          <w:szCs w:val="24"/>
          <w:lang w:val="en-US"/>
        </w:rPr>
        <w:t xml:space="preserve">are presented in Table </w:t>
      </w:r>
      <w:r w:rsidR="00EF1F1D" w:rsidRPr="00D93C78">
        <w:rPr>
          <w:szCs w:val="24"/>
          <w:lang w:val="en-US"/>
        </w:rPr>
        <w:t>8</w:t>
      </w:r>
      <w:r w:rsidR="007C332C" w:rsidRPr="00D93C78">
        <w:rPr>
          <w:szCs w:val="24"/>
          <w:lang w:val="en-US"/>
        </w:rPr>
        <w:t xml:space="preserve">; </w:t>
      </w:r>
      <w:r w:rsidR="00526EDD" w:rsidRPr="00D93C78">
        <w:rPr>
          <w:szCs w:val="24"/>
          <w:lang w:val="en-US"/>
        </w:rPr>
        <w:t xml:space="preserve">the </w:t>
      </w:r>
      <w:r w:rsidR="00C0392D" w:rsidRPr="00D93C78">
        <w:rPr>
          <w:bCs/>
          <w:szCs w:val="24"/>
        </w:rPr>
        <w:t>vinyl</w:t>
      </w:r>
      <w:r w:rsidR="00413FFD" w:rsidRPr="00D93C78">
        <w:rPr>
          <w:bCs/>
          <w:szCs w:val="24"/>
        </w:rPr>
        <w:t xml:space="preserve"> chlorosilanes</w:t>
      </w:r>
      <w:r w:rsidR="00C54AD4" w:rsidRPr="00D93C78">
        <w:rPr>
          <w:bCs/>
          <w:szCs w:val="24"/>
        </w:rPr>
        <w:t xml:space="preserve"> </w:t>
      </w:r>
      <w:r w:rsidR="00526EDD" w:rsidRPr="00D93C78">
        <w:rPr>
          <w:bCs/>
          <w:szCs w:val="24"/>
        </w:rPr>
        <w:t xml:space="preserve">are </w:t>
      </w:r>
      <w:r w:rsidR="003C0E3D" w:rsidRPr="00D93C78">
        <w:rPr>
          <w:szCs w:val="24"/>
          <w:lang w:val="en-US"/>
        </w:rPr>
        <w:t>not expected to bioaccumulate</w:t>
      </w:r>
      <w:r w:rsidRPr="00D93C78">
        <w:rPr>
          <w:szCs w:val="24"/>
        </w:rPr>
        <w:t xml:space="preserve">.  </w:t>
      </w:r>
      <w:r w:rsidR="00171947" w:rsidRPr="00D93C78">
        <w:rPr>
          <w:szCs w:val="24"/>
        </w:rPr>
        <w:t>For both the hydrolysis products, the estimated BCF is 3.2 L/kg wet-wt.</w:t>
      </w:r>
      <w:r w:rsidR="00FA67EA" w:rsidRPr="00D93C78">
        <w:rPr>
          <w:szCs w:val="24"/>
        </w:rPr>
        <w:t xml:space="preserve"> </w:t>
      </w:r>
    </w:p>
    <w:p w:rsidR="00DA5A7E" w:rsidRPr="00D93C78" w:rsidRDefault="00740E9A" w:rsidP="00D67A69">
      <w:pPr>
        <w:pStyle w:val="Caption"/>
        <w:ind w:left="0"/>
        <w:jc w:val="both"/>
        <w:rPr>
          <w:rFonts w:ascii="Times New Roman" w:hAnsi="Times New Roman"/>
          <w:szCs w:val="24"/>
        </w:rPr>
      </w:pPr>
      <w:bookmarkStart w:id="77" w:name="_Toc282678010"/>
      <w:bookmarkStart w:id="78" w:name="_Toc310335207"/>
      <w:r>
        <w:rPr>
          <w:rFonts w:ascii="Times New Roman" w:hAnsi="Times New Roman"/>
          <w:szCs w:val="24"/>
        </w:rPr>
        <w:t xml:space="preserve"> </w:t>
      </w:r>
      <w:r w:rsidR="00DA5A7E" w:rsidRPr="00D93C78">
        <w:rPr>
          <w:rFonts w:ascii="Times New Roman" w:hAnsi="Times New Roman"/>
          <w:szCs w:val="24"/>
        </w:rPr>
        <w:t xml:space="preserve">Table </w:t>
      </w:r>
      <w:r w:rsidR="00EF1F1D" w:rsidRPr="00D93C78">
        <w:rPr>
          <w:rFonts w:ascii="Times New Roman" w:hAnsi="Times New Roman"/>
          <w:szCs w:val="24"/>
        </w:rPr>
        <w:t>8</w:t>
      </w:r>
      <w:r w:rsidR="00DA5A7E" w:rsidRPr="00D93C78">
        <w:rPr>
          <w:rFonts w:ascii="Times New Roman" w:hAnsi="Times New Roman"/>
          <w:szCs w:val="24"/>
        </w:rPr>
        <w:t xml:space="preserve">. </w:t>
      </w:r>
      <w:r w:rsidR="00D67A69">
        <w:rPr>
          <w:rFonts w:ascii="Times New Roman" w:hAnsi="Times New Roman"/>
          <w:szCs w:val="24"/>
        </w:rPr>
        <w:t xml:space="preserve"> </w:t>
      </w:r>
      <w:r w:rsidR="00DA5A7E" w:rsidRPr="00D93C78">
        <w:rPr>
          <w:rFonts w:ascii="Times New Roman" w:hAnsi="Times New Roman"/>
          <w:szCs w:val="24"/>
        </w:rPr>
        <w:t>Summary of Bioaccumulation data</w:t>
      </w:r>
      <w:bookmarkEnd w:id="77"/>
      <w:bookmarkEnd w:id="78"/>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797"/>
        <w:gridCol w:w="1228"/>
        <w:gridCol w:w="2550"/>
        <w:gridCol w:w="1984"/>
      </w:tblGrid>
      <w:tr w:rsidR="00DA5A7E" w:rsidRPr="00D67A69" w:rsidTr="00D67A69">
        <w:trPr>
          <w:tblHeader/>
        </w:trPr>
        <w:tc>
          <w:tcPr>
            <w:tcW w:w="3618" w:type="dxa"/>
            <w:tcBorders>
              <w:top w:val="single" w:sz="12" w:space="0" w:color="auto"/>
              <w:bottom w:val="single" w:sz="12" w:space="0" w:color="auto"/>
            </w:tcBorders>
            <w:vAlign w:val="center"/>
          </w:tcPr>
          <w:p w:rsidR="00DA5A7E" w:rsidRPr="00D67A69" w:rsidRDefault="00DA5A7E" w:rsidP="00D67A69">
            <w:pPr>
              <w:pStyle w:val="Tabletext"/>
              <w:jc w:val="center"/>
              <w:rPr>
                <w:b/>
                <w:bCs/>
              </w:rPr>
            </w:pPr>
            <w:r w:rsidRPr="00D67A69">
              <w:rPr>
                <w:b/>
                <w:bCs/>
              </w:rPr>
              <w:t>Substance</w:t>
            </w:r>
          </w:p>
        </w:tc>
        <w:tc>
          <w:tcPr>
            <w:tcW w:w="1170" w:type="dxa"/>
            <w:tcBorders>
              <w:top w:val="single" w:sz="12" w:space="0" w:color="auto"/>
              <w:bottom w:val="single" w:sz="12" w:space="0" w:color="auto"/>
            </w:tcBorders>
          </w:tcPr>
          <w:p w:rsidR="00DA5A7E" w:rsidRPr="00D67A69" w:rsidRDefault="00DA5A7E" w:rsidP="00D67A69">
            <w:pPr>
              <w:pStyle w:val="Tabletext"/>
              <w:jc w:val="center"/>
              <w:rPr>
                <w:b/>
              </w:rPr>
            </w:pPr>
            <w:r w:rsidRPr="00D67A69">
              <w:rPr>
                <w:b/>
              </w:rPr>
              <w:t>Test</w:t>
            </w:r>
          </w:p>
        </w:tc>
        <w:tc>
          <w:tcPr>
            <w:tcW w:w="2430" w:type="dxa"/>
            <w:tcBorders>
              <w:top w:val="single" w:sz="12" w:space="0" w:color="auto"/>
              <w:bottom w:val="single" w:sz="12" w:space="0" w:color="auto"/>
            </w:tcBorders>
            <w:vAlign w:val="center"/>
          </w:tcPr>
          <w:p w:rsidR="00DA5A7E" w:rsidRPr="00D67A69" w:rsidRDefault="00DA5A7E" w:rsidP="00D67A69">
            <w:pPr>
              <w:pStyle w:val="Tabletext"/>
              <w:jc w:val="center"/>
              <w:rPr>
                <w:b/>
              </w:rPr>
            </w:pPr>
            <w:r w:rsidRPr="00D67A69">
              <w:rPr>
                <w:b/>
              </w:rPr>
              <w:t>BCF</w:t>
            </w:r>
            <w:r w:rsidR="007E397A" w:rsidRPr="00D67A69">
              <w:rPr>
                <w:b/>
              </w:rPr>
              <w:t xml:space="preserve"> (L/kg wet-wt)</w:t>
            </w:r>
          </w:p>
        </w:tc>
        <w:tc>
          <w:tcPr>
            <w:tcW w:w="1890" w:type="dxa"/>
            <w:tcBorders>
              <w:top w:val="single" w:sz="12" w:space="0" w:color="auto"/>
              <w:bottom w:val="single" w:sz="12" w:space="0" w:color="auto"/>
            </w:tcBorders>
            <w:vAlign w:val="center"/>
          </w:tcPr>
          <w:p w:rsidR="00DA5A7E" w:rsidRPr="00D67A69" w:rsidRDefault="00DA5A7E" w:rsidP="00D67A69">
            <w:pPr>
              <w:pStyle w:val="Tabletext"/>
              <w:jc w:val="center"/>
              <w:rPr>
                <w:b/>
                <w:bCs/>
              </w:rPr>
            </w:pPr>
            <w:r w:rsidRPr="00D67A69">
              <w:rPr>
                <w:b/>
                <w:bCs/>
              </w:rPr>
              <w:t>Reference</w:t>
            </w:r>
          </w:p>
        </w:tc>
      </w:tr>
      <w:tr w:rsidR="009B2092" w:rsidRPr="00D67A69" w:rsidTr="00D67A69">
        <w:trPr>
          <w:tblHeader/>
        </w:trPr>
        <w:tc>
          <w:tcPr>
            <w:tcW w:w="3618" w:type="dxa"/>
            <w:tcBorders>
              <w:top w:val="single" w:sz="12" w:space="0" w:color="auto"/>
            </w:tcBorders>
            <w:vAlign w:val="center"/>
          </w:tcPr>
          <w:p w:rsidR="009B2092" w:rsidRPr="00D67A69" w:rsidRDefault="009B2092" w:rsidP="00D67A69">
            <w:pPr>
              <w:pStyle w:val="Tabletext"/>
              <w:jc w:val="center"/>
              <w:rPr>
                <w:b/>
              </w:rPr>
            </w:pPr>
            <w:r w:rsidRPr="00D67A69">
              <w:rPr>
                <w:b/>
              </w:rPr>
              <w:t>VDCS</w:t>
            </w:r>
          </w:p>
        </w:tc>
        <w:tc>
          <w:tcPr>
            <w:tcW w:w="1170" w:type="dxa"/>
            <w:vMerge w:val="restart"/>
            <w:tcBorders>
              <w:top w:val="single" w:sz="12" w:space="0" w:color="auto"/>
            </w:tcBorders>
          </w:tcPr>
          <w:p w:rsidR="009B2092" w:rsidRPr="00D67A69" w:rsidRDefault="00761CC9" w:rsidP="00D67A69">
            <w:pPr>
              <w:pStyle w:val="Tabletext"/>
              <w:autoSpaceDE w:val="0"/>
              <w:autoSpaceDN w:val="0"/>
              <w:ind w:left="57"/>
              <w:jc w:val="center"/>
            </w:pPr>
            <w:r w:rsidRPr="00D67A69">
              <w:t>Modeling</w:t>
            </w:r>
          </w:p>
        </w:tc>
        <w:tc>
          <w:tcPr>
            <w:tcW w:w="2430" w:type="dxa"/>
            <w:tcBorders>
              <w:top w:val="single" w:sz="12" w:space="0" w:color="auto"/>
            </w:tcBorders>
          </w:tcPr>
          <w:p w:rsidR="009B2092" w:rsidRPr="00D67A69" w:rsidRDefault="009B2092" w:rsidP="00D67A69">
            <w:pPr>
              <w:pStyle w:val="Tabletext"/>
              <w:autoSpaceDE w:val="0"/>
              <w:autoSpaceDN w:val="0"/>
              <w:ind w:left="57"/>
              <w:jc w:val="center"/>
            </w:pPr>
            <w:r w:rsidRPr="00D67A69">
              <w:t>24.1</w:t>
            </w:r>
          </w:p>
        </w:tc>
        <w:tc>
          <w:tcPr>
            <w:tcW w:w="1890" w:type="dxa"/>
            <w:vMerge w:val="restart"/>
            <w:tcBorders>
              <w:top w:val="single" w:sz="12" w:space="0" w:color="auto"/>
            </w:tcBorders>
          </w:tcPr>
          <w:p w:rsidR="00761CC9" w:rsidRPr="00D67A69" w:rsidRDefault="00761CC9" w:rsidP="00D67A69">
            <w:pPr>
              <w:jc w:val="center"/>
              <w:rPr>
                <w:sz w:val="20"/>
                <w:szCs w:val="20"/>
              </w:rPr>
            </w:pPr>
            <w:r w:rsidRPr="00D67A69">
              <w:rPr>
                <w:sz w:val="20"/>
                <w:szCs w:val="20"/>
              </w:rPr>
              <w:t>EPI Suite (v4.10)</w:t>
            </w:r>
          </w:p>
          <w:p w:rsidR="009B2092" w:rsidRPr="00D67A69" w:rsidRDefault="009B2092" w:rsidP="00D67A69">
            <w:pPr>
              <w:jc w:val="center"/>
              <w:rPr>
                <w:sz w:val="20"/>
                <w:szCs w:val="20"/>
              </w:rPr>
            </w:pPr>
          </w:p>
        </w:tc>
      </w:tr>
      <w:tr w:rsidR="009B2092" w:rsidRPr="00D93C78" w:rsidTr="00D67A69">
        <w:trPr>
          <w:tblHeader/>
        </w:trPr>
        <w:tc>
          <w:tcPr>
            <w:tcW w:w="3618" w:type="dxa"/>
            <w:vAlign w:val="center"/>
          </w:tcPr>
          <w:p w:rsidR="009B2092" w:rsidRPr="00D67A69" w:rsidRDefault="009B2092" w:rsidP="00D67A69">
            <w:pPr>
              <w:pStyle w:val="Tabletext"/>
              <w:jc w:val="center"/>
            </w:pPr>
            <w:r w:rsidRPr="00D67A69">
              <w:t>Hydrolysis product: vinylmethylsilanediol</w:t>
            </w:r>
          </w:p>
        </w:tc>
        <w:tc>
          <w:tcPr>
            <w:tcW w:w="1170" w:type="dxa"/>
            <w:vMerge/>
          </w:tcPr>
          <w:p w:rsidR="009B2092" w:rsidRPr="00D67A69" w:rsidRDefault="009B2092" w:rsidP="00D67A69">
            <w:pPr>
              <w:pStyle w:val="Tabletext"/>
              <w:jc w:val="center"/>
            </w:pPr>
          </w:p>
        </w:tc>
        <w:tc>
          <w:tcPr>
            <w:tcW w:w="2430" w:type="dxa"/>
          </w:tcPr>
          <w:p w:rsidR="009B2092" w:rsidRPr="00D67A69" w:rsidRDefault="00B5269F" w:rsidP="00D67A69">
            <w:pPr>
              <w:pStyle w:val="Tabletext"/>
              <w:autoSpaceDE w:val="0"/>
              <w:autoSpaceDN w:val="0"/>
              <w:ind w:left="57"/>
              <w:jc w:val="center"/>
            </w:pPr>
            <w:r w:rsidRPr="00D67A69">
              <w:t>3.2</w:t>
            </w:r>
          </w:p>
        </w:tc>
        <w:tc>
          <w:tcPr>
            <w:tcW w:w="1890" w:type="dxa"/>
            <w:vMerge/>
          </w:tcPr>
          <w:p w:rsidR="009B2092" w:rsidRPr="00D93C78" w:rsidRDefault="009B2092" w:rsidP="00D93C78">
            <w:pPr>
              <w:jc w:val="both"/>
            </w:pPr>
          </w:p>
        </w:tc>
      </w:tr>
      <w:tr w:rsidR="009B2092" w:rsidRPr="00D93C78" w:rsidTr="00D67A69">
        <w:trPr>
          <w:tblHeader/>
        </w:trPr>
        <w:tc>
          <w:tcPr>
            <w:tcW w:w="3618" w:type="dxa"/>
            <w:vAlign w:val="center"/>
          </w:tcPr>
          <w:p w:rsidR="009B2092" w:rsidRPr="00D67A69" w:rsidRDefault="009B2092" w:rsidP="00D67A69">
            <w:pPr>
              <w:pStyle w:val="Tabletext"/>
              <w:autoSpaceDE w:val="0"/>
              <w:autoSpaceDN w:val="0"/>
              <w:ind w:left="57"/>
              <w:jc w:val="center"/>
              <w:rPr>
                <w:b/>
              </w:rPr>
            </w:pPr>
            <w:r w:rsidRPr="00D67A69">
              <w:rPr>
                <w:b/>
              </w:rPr>
              <w:t>VTCS</w:t>
            </w:r>
          </w:p>
        </w:tc>
        <w:tc>
          <w:tcPr>
            <w:tcW w:w="1170" w:type="dxa"/>
            <w:vMerge/>
          </w:tcPr>
          <w:p w:rsidR="009B2092" w:rsidRPr="00D67A69" w:rsidRDefault="009B2092" w:rsidP="00D67A69">
            <w:pPr>
              <w:pStyle w:val="Tabletext"/>
              <w:jc w:val="center"/>
            </w:pPr>
          </w:p>
        </w:tc>
        <w:tc>
          <w:tcPr>
            <w:tcW w:w="2430" w:type="dxa"/>
          </w:tcPr>
          <w:p w:rsidR="009B2092" w:rsidRPr="00D67A69" w:rsidRDefault="009B2092" w:rsidP="00D67A69">
            <w:pPr>
              <w:pStyle w:val="Tabletext"/>
              <w:autoSpaceDE w:val="0"/>
              <w:autoSpaceDN w:val="0"/>
              <w:ind w:left="57"/>
              <w:jc w:val="center"/>
            </w:pPr>
            <w:r w:rsidRPr="00D67A69">
              <w:t>16.8</w:t>
            </w:r>
          </w:p>
        </w:tc>
        <w:tc>
          <w:tcPr>
            <w:tcW w:w="1890" w:type="dxa"/>
            <w:vMerge/>
          </w:tcPr>
          <w:p w:rsidR="009B2092" w:rsidRPr="00D93C78" w:rsidRDefault="009B2092" w:rsidP="00D93C78">
            <w:pPr>
              <w:jc w:val="both"/>
            </w:pPr>
          </w:p>
        </w:tc>
      </w:tr>
      <w:tr w:rsidR="009B2092" w:rsidRPr="00D93C78" w:rsidTr="00D67A69">
        <w:trPr>
          <w:tblHeader/>
        </w:trPr>
        <w:tc>
          <w:tcPr>
            <w:tcW w:w="3618" w:type="dxa"/>
            <w:vAlign w:val="center"/>
          </w:tcPr>
          <w:p w:rsidR="009B2092" w:rsidRPr="00D67A69" w:rsidRDefault="009B2092" w:rsidP="00D67A69">
            <w:pPr>
              <w:pStyle w:val="Tabletext"/>
              <w:jc w:val="center"/>
              <w:rPr>
                <w:b/>
              </w:rPr>
            </w:pPr>
            <w:r w:rsidRPr="00D67A69">
              <w:t>Hydrolysis product: vinylsilanetriol</w:t>
            </w:r>
          </w:p>
        </w:tc>
        <w:tc>
          <w:tcPr>
            <w:tcW w:w="1170" w:type="dxa"/>
            <w:vMerge/>
          </w:tcPr>
          <w:p w:rsidR="009B2092" w:rsidRPr="00D67A69" w:rsidRDefault="009B2092" w:rsidP="00D67A69">
            <w:pPr>
              <w:pStyle w:val="Tabletext"/>
              <w:jc w:val="center"/>
            </w:pPr>
          </w:p>
        </w:tc>
        <w:tc>
          <w:tcPr>
            <w:tcW w:w="2430" w:type="dxa"/>
          </w:tcPr>
          <w:p w:rsidR="009B2092" w:rsidRPr="00D67A69" w:rsidRDefault="00B5269F" w:rsidP="00D67A69">
            <w:pPr>
              <w:pStyle w:val="Tabletext"/>
              <w:autoSpaceDE w:val="0"/>
              <w:autoSpaceDN w:val="0"/>
              <w:ind w:left="57"/>
              <w:jc w:val="center"/>
            </w:pPr>
            <w:r w:rsidRPr="00D67A69">
              <w:t>3.2</w:t>
            </w:r>
          </w:p>
        </w:tc>
        <w:tc>
          <w:tcPr>
            <w:tcW w:w="1890" w:type="dxa"/>
            <w:vMerge/>
          </w:tcPr>
          <w:p w:rsidR="009B2092" w:rsidRPr="00D93C78" w:rsidRDefault="009B2092" w:rsidP="00D93C78">
            <w:pPr>
              <w:jc w:val="both"/>
            </w:pPr>
          </w:p>
        </w:tc>
      </w:tr>
    </w:tbl>
    <w:p w:rsidR="00C1433D" w:rsidRPr="00D93C78" w:rsidRDefault="00C1433D" w:rsidP="00D93C78">
      <w:pPr>
        <w:pStyle w:val="Heading2"/>
        <w:numPr>
          <w:ilvl w:val="0"/>
          <w:numId w:val="0"/>
        </w:numPr>
        <w:rPr>
          <w:rFonts w:ascii="Times New Roman" w:hAnsi="Times New Roman"/>
          <w:szCs w:val="24"/>
        </w:rPr>
      </w:pPr>
      <w:bookmarkStart w:id="79" w:name="_Toc32726024"/>
      <w:bookmarkStart w:id="80" w:name="_Toc32727207"/>
      <w:bookmarkStart w:id="81" w:name="_Toc43868655"/>
      <w:bookmarkStart w:id="82" w:name="_Toc200358243"/>
      <w:bookmarkStart w:id="83" w:name="_Toc310335183"/>
      <w:r w:rsidRPr="00D93C78">
        <w:rPr>
          <w:rFonts w:ascii="Times New Roman" w:hAnsi="Times New Roman"/>
          <w:szCs w:val="24"/>
        </w:rPr>
        <w:t>2.3</w:t>
      </w:r>
      <w:r w:rsidRPr="00D93C78">
        <w:rPr>
          <w:rFonts w:ascii="Times New Roman" w:hAnsi="Times New Roman"/>
          <w:szCs w:val="24"/>
        </w:rPr>
        <w:tab/>
        <w:t>Human Exposure</w:t>
      </w:r>
      <w:bookmarkEnd w:id="79"/>
      <w:bookmarkEnd w:id="80"/>
      <w:bookmarkEnd w:id="81"/>
      <w:bookmarkEnd w:id="82"/>
      <w:bookmarkEnd w:id="83"/>
    </w:p>
    <w:p w:rsidR="00C1433D" w:rsidRPr="00D93C78" w:rsidRDefault="00C1433D" w:rsidP="00D93C78">
      <w:pPr>
        <w:pStyle w:val="Heading3"/>
        <w:numPr>
          <w:ilvl w:val="0"/>
          <w:numId w:val="0"/>
        </w:numPr>
        <w:tabs>
          <w:tab w:val="clear" w:pos="2160"/>
        </w:tabs>
        <w:jc w:val="both"/>
        <w:rPr>
          <w:rFonts w:ascii="Times New Roman" w:hAnsi="Times New Roman"/>
          <w:szCs w:val="24"/>
        </w:rPr>
      </w:pPr>
      <w:bookmarkStart w:id="84" w:name="_Toc32726025"/>
      <w:bookmarkStart w:id="85" w:name="_Toc32727208"/>
      <w:bookmarkStart w:id="86" w:name="_Toc43868656"/>
      <w:bookmarkStart w:id="87" w:name="_Toc200358244"/>
      <w:bookmarkStart w:id="88" w:name="_Toc310335184"/>
      <w:r w:rsidRPr="00D93C78">
        <w:rPr>
          <w:rFonts w:ascii="Times New Roman" w:hAnsi="Times New Roman"/>
          <w:szCs w:val="24"/>
        </w:rPr>
        <w:t>2.3.1</w:t>
      </w:r>
      <w:r w:rsidRPr="00D93C78">
        <w:rPr>
          <w:rFonts w:ascii="Times New Roman" w:hAnsi="Times New Roman"/>
          <w:szCs w:val="24"/>
        </w:rPr>
        <w:tab/>
        <w:t>Occupational Exposure</w:t>
      </w:r>
      <w:bookmarkEnd w:id="84"/>
      <w:bookmarkEnd w:id="85"/>
      <w:bookmarkEnd w:id="86"/>
      <w:bookmarkEnd w:id="87"/>
      <w:bookmarkEnd w:id="88"/>
    </w:p>
    <w:p w:rsidR="00C1433D" w:rsidRPr="00D93C78" w:rsidRDefault="001A01ED" w:rsidP="00D93C78">
      <w:pPr>
        <w:autoSpaceDE w:val="0"/>
        <w:autoSpaceDN w:val="0"/>
        <w:adjustRightInd w:val="0"/>
        <w:jc w:val="both"/>
      </w:pPr>
      <w:r w:rsidRPr="00D93C78">
        <w:t xml:space="preserve">The </w:t>
      </w:r>
      <w:r w:rsidR="00DA41CB" w:rsidRPr="00D93C78">
        <w:t>vinyl</w:t>
      </w:r>
      <w:r w:rsidR="00413FFD" w:rsidRPr="00D93C78">
        <w:t xml:space="preserve"> chlorosilanes</w:t>
      </w:r>
      <w:r w:rsidR="00C54AD4" w:rsidRPr="00D93C78">
        <w:t xml:space="preserve"> </w:t>
      </w:r>
      <w:r w:rsidRPr="00D93C78">
        <w:t>are</w:t>
      </w:r>
      <w:r w:rsidR="00C1433D" w:rsidRPr="00D93C78">
        <w:t xml:space="preserve"> produced and processed in closed systems.  Due to the dynamic and exothermic nature of the processes incorporating chlorosilanes, many engineering controls are in place </w:t>
      </w:r>
      <w:r w:rsidR="006A229B" w:rsidRPr="00D93C78">
        <w:t xml:space="preserve">at all the companies that are sponsoring this case </w:t>
      </w:r>
      <w:r w:rsidR="00C1433D" w:rsidRPr="00D93C78">
        <w:t xml:space="preserve">to prevent occupational exposure such as </w:t>
      </w:r>
      <w:r w:rsidR="00383E5C" w:rsidRPr="00D93C78">
        <w:t>local and general ventilation, ventilation systems tied into scrubbers with nitrogen padding, ambient temperature, closed loop unloading and dry break connections.</w:t>
      </w:r>
      <w:r w:rsidR="00C1433D" w:rsidRPr="00D93C78">
        <w:t xml:space="preserve">  Employees involved in chlorosilane production and application are required to use personal protective equipment (PPE) such as </w:t>
      </w:r>
      <w:r w:rsidR="00383E5C" w:rsidRPr="00D93C78">
        <w:t>a respirator with organic vapor cartridges, slicker suit, Viton (chemical resistant) gloves, and rubber boots</w:t>
      </w:r>
      <w:r w:rsidR="00C1433D" w:rsidRPr="00D93C78">
        <w:t xml:space="preserve">.  For any situation (e.g. equipment maintenance and repair) where potential exposure to chlorosilanes is expected, the use of acid resistant protective equipment, respiratory equipment and face shield is recommended because of their </w:t>
      </w:r>
      <w:r w:rsidR="006A229B" w:rsidRPr="00D93C78">
        <w:t>hazardous</w:t>
      </w:r>
      <w:r w:rsidR="00C1433D" w:rsidRPr="00D93C78">
        <w:t xml:space="preserve"> properties (Guerrero, 201</w:t>
      </w:r>
      <w:r w:rsidR="00DA41CB" w:rsidRPr="00D93C78">
        <w:t>1</w:t>
      </w:r>
      <w:r w:rsidR="00C1433D" w:rsidRPr="00D93C78">
        <w:t>).  Potential routes of exposure include inhalation and dermal exposure.</w:t>
      </w:r>
      <w:r w:rsidR="00C1433D" w:rsidRPr="00D93C78">
        <w:rPr>
          <w:color w:val="FF0000"/>
        </w:rPr>
        <w:t xml:space="preserve">  </w:t>
      </w:r>
    </w:p>
    <w:p w:rsidR="00C1433D" w:rsidRPr="00D93C78" w:rsidRDefault="00C1433D" w:rsidP="00D93C78">
      <w:pPr>
        <w:pStyle w:val="Heading3"/>
        <w:numPr>
          <w:ilvl w:val="0"/>
          <w:numId w:val="0"/>
        </w:numPr>
        <w:tabs>
          <w:tab w:val="clear" w:pos="2160"/>
        </w:tabs>
        <w:jc w:val="both"/>
        <w:rPr>
          <w:rFonts w:ascii="Times New Roman" w:hAnsi="Times New Roman"/>
          <w:szCs w:val="24"/>
        </w:rPr>
      </w:pPr>
      <w:bookmarkStart w:id="89" w:name="_Toc32726026"/>
      <w:bookmarkStart w:id="90" w:name="_Toc32727209"/>
      <w:bookmarkStart w:id="91" w:name="_Toc43868657"/>
      <w:bookmarkStart w:id="92" w:name="_Toc200358245"/>
      <w:bookmarkStart w:id="93" w:name="_Toc310335185"/>
      <w:r w:rsidRPr="00D93C78">
        <w:rPr>
          <w:rFonts w:ascii="Times New Roman" w:hAnsi="Times New Roman"/>
          <w:szCs w:val="24"/>
        </w:rPr>
        <w:t>2.3.2</w:t>
      </w:r>
      <w:r w:rsidRPr="00D93C78">
        <w:rPr>
          <w:rFonts w:ascii="Times New Roman" w:hAnsi="Times New Roman"/>
          <w:szCs w:val="24"/>
        </w:rPr>
        <w:tab/>
        <w:t>Consumer Exposure</w:t>
      </w:r>
      <w:bookmarkEnd w:id="89"/>
      <w:bookmarkEnd w:id="90"/>
      <w:bookmarkEnd w:id="91"/>
      <w:bookmarkEnd w:id="92"/>
      <w:bookmarkEnd w:id="93"/>
    </w:p>
    <w:p w:rsidR="00C1433D" w:rsidRPr="00D93C78" w:rsidRDefault="00C1433D" w:rsidP="00D93C78">
      <w:pPr>
        <w:pStyle w:val="BodyText"/>
        <w:rPr>
          <w:szCs w:val="24"/>
        </w:rPr>
      </w:pPr>
      <w:r w:rsidRPr="00D93C78">
        <w:rPr>
          <w:szCs w:val="24"/>
        </w:rPr>
        <w:t xml:space="preserve">There are no consumer uses of </w:t>
      </w:r>
      <w:r w:rsidR="001A01ED" w:rsidRPr="00D93C78">
        <w:rPr>
          <w:szCs w:val="24"/>
        </w:rPr>
        <w:t xml:space="preserve">the </w:t>
      </w:r>
      <w:r w:rsidR="00DA41CB" w:rsidRPr="00D93C78">
        <w:rPr>
          <w:szCs w:val="24"/>
        </w:rPr>
        <w:t>vinyl</w:t>
      </w:r>
      <w:r w:rsidR="00413FFD" w:rsidRPr="00D93C78">
        <w:rPr>
          <w:szCs w:val="24"/>
        </w:rPr>
        <w:t xml:space="preserve"> chlorosilanes</w:t>
      </w:r>
      <w:r w:rsidR="00C54AD4" w:rsidRPr="00D93C78">
        <w:rPr>
          <w:szCs w:val="24"/>
        </w:rPr>
        <w:t xml:space="preserve"> </w:t>
      </w:r>
      <w:r w:rsidRPr="00D93C78">
        <w:rPr>
          <w:szCs w:val="24"/>
        </w:rPr>
        <w:t>(Guerrero, 20</w:t>
      </w:r>
      <w:r w:rsidR="0071446D" w:rsidRPr="00D93C78">
        <w:rPr>
          <w:szCs w:val="24"/>
        </w:rPr>
        <w:t>12</w:t>
      </w:r>
      <w:r w:rsidRPr="00D93C78">
        <w:rPr>
          <w:szCs w:val="24"/>
        </w:rPr>
        <w:t xml:space="preserve">).  </w:t>
      </w:r>
    </w:p>
    <w:p w:rsidR="00C1433D" w:rsidRPr="00D93C78" w:rsidRDefault="00C1433D" w:rsidP="00D93C78">
      <w:pPr>
        <w:pStyle w:val="Heading1"/>
        <w:ind w:left="0" w:firstLine="0"/>
        <w:jc w:val="both"/>
        <w:rPr>
          <w:rFonts w:ascii="Times New Roman" w:hAnsi="Times New Roman"/>
          <w:szCs w:val="24"/>
        </w:rPr>
      </w:pPr>
      <w:bookmarkStart w:id="94" w:name="_Toc32726027"/>
      <w:bookmarkStart w:id="95" w:name="_Toc32727210"/>
      <w:bookmarkStart w:id="96" w:name="_Toc43868658"/>
      <w:bookmarkStart w:id="97" w:name="_Toc200358246"/>
      <w:bookmarkStart w:id="98" w:name="_Toc310335186"/>
      <w:r w:rsidRPr="00D93C78">
        <w:rPr>
          <w:rFonts w:ascii="Times New Roman" w:hAnsi="Times New Roman"/>
          <w:szCs w:val="24"/>
        </w:rPr>
        <w:t>3</w:t>
      </w:r>
      <w:r w:rsidRPr="00D93C78">
        <w:rPr>
          <w:rFonts w:ascii="Times New Roman" w:hAnsi="Times New Roman"/>
          <w:szCs w:val="24"/>
        </w:rPr>
        <w:tab/>
        <w:t>human health hazards</w:t>
      </w:r>
      <w:bookmarkEnd w:id="94"/>
      <w:bookmarkEnd w:id="95"/>
      <w:bookmarkEnd w:id="96"/>
      <w:bookmarkEnd w:id="97"/>
      <w:bookmarkEnd w:id="98"/>
    </w:p>
    <w:p w:rsidR="00C1433D" w:rsidRPr="00D93C78" w:rsidRDefault="00C1433D" w:rsidP="00D93C78">
      <w:pPr>
        <w:pStyle w:val="Heading2"/>
        <w:numPr>
          <w:ilvl w:val="0"/>
          <w:numId w:val="0"/>
        </w:numPr>
        <w:rPr>
          <w:rFonts w:ascii="Times New Roman" w:hAnsi="Times New Roman"/>
          <w:szCs w:val="24"/>
        </w:rPr>
      </w:pPr>
      <w:bookmarkStart w:id="99" w:name="_Toc32726028"/>
      <w:bookmarkStart w:id="100" w:name="_Toc32727211"/>
      <w:bookmarkStart w:id="101" w:name="_Toc43868659"/>
      <w:bookmarkStart w:id="102" w:name="_Toc200358247"/>
      <w:bookmarkStart w:id="103" w:name="_Toc310335187"/>
      <w:r w:rsidRPr="00D93C78">
        <w:rPr>
          <w:rFonts w:ascii="Times New Roman" w:hAnsi="Times New Roman"/>
          <w:szCs w:val="24"/>
        </w:rPr>
        <w:t>3.1</w:t>
      </w:r>
      <w:r w:rsidRPr="00D93C78">
        <w:rPr>
          <w:rFonts w:ascii="Times New Roman" w:hAnsi="Times New Roman"/>
          <w:szCs w:val="24"/>
        </w:rPr>
        <w:tab/>
        <w:t>Effects on Human Health</w:t>
      </w:r>
      <w:bookmarkEnd w:id="99"/>
      <w:bookmarkEnd w:id="100"/>
      <w:bookmarkEnd w:id="101"/>
      <w:bookmarkEnd w:id="102"/>
      <w:bookmarkEnd w:id="103"/>
    </w:p>
    <w:p w:rsidR="00C1433D" w:rsidRPr="00D93C78" w:rsidRDefault="00C1433D" w:rsidP="00D93C78">
      <w:pPr>
        <w:pStyle w:val="Text"/>
        <w:spacing w:before="0" w:line="240" w:lineRule="auto"/>
        <w:jc w:val="both"/>
        <w:rPr>
          <w:szCs w:val="24"/>
        </w:rPr>
      </w:pPr>
      <w:r w:rsidRPr="00D93C78">
        <w:rPr>
          <w:szCs w:val="24"/>
        </w:rPr>
        <w:t xml:space="preserve">Due to reactivity, </w:t>
      </w:r>
      <w:r w:rsidR="002E55D5" w:rsidRPr="00D93C78">
        <w:rPr>
          <w:szCs w:val="24"/>
        </w:rPr>
        <w:t xml:space="preserve">the </w:t>
      </w:r>
      <w:r w:rsidR="00DA41CB" w:rsidRPr="00D93C78">
        <w:rPr>
          <w:szCs w:val="24"/>
        </w:rPr>
        <w:t>vinyl</w:t>
      </w:r>
      <w:r w:rsidR="00413FFD" w:rsidRPr="00D93C78">
        <w:rPr>
          <w:szCs w:val="24"/>
        </w:rPr>
        <w:t xml:space="preserve"> chlorosilanes</w:t>
      </w:r>
      <w:r w:rsidR="00C54AD4" w:rsidRPr="00D93C78">
        <w:rPr>
          <w:szCs w:val="24"/>
        </w:rPr>
        <w:t xml:space="preserve"> </w:t>
      </w:r>
      <w:r w:rsidR="002E55D5" w:rsidRPr="00D93C78">
        <w:rPr>
          <w:szCs w:val="24"/>
        </w:rPr>
        <w:t>are</w:t>
      </w:r>
      <w:r w:rsidR="003C0E3D" w:rsidRPr="00D93C78">
        <w:rPr>
          <w:szCs w:val="24"/>
        </w:rPr>
        <w:t xml:space="preserve"> </w:t>
      </w:r>
      <w:r w:rsidRPr="00D93C78">
        <w:rPr>
          <w:szCs w:val="24"/>
        </w:rPr>
        <w:t>expected to hydroly</w:t>
      </w:r>
      <w:r w:rsidR="002E55D5" w:rsidRPr="00D93C78">
        <w:rPr>
          <w:szCs w:val="24"/>
        </w:rPr>
        <w:t>z</w:t>
      </w:r>
      <w:r w:rsidRPr="00D93C78">
        <w:rPr>
          <w:szCs w:val="24"/>
        </w:rPr>
        <w:t xml:space="preserve">e prior to exposure, or locally at the port of entry, to form HCl and corresponding silanol hydrolysis products.  </w:t>
      </w:r>
      <w:r w:rsidR="00AB7186" w:rsidRPr="00D93C78">
        <w:rPr>
          <w:szCs w:val="24"/>
        </w:rPr>
        <w:t xml:space="preserve">In summary, for mammalian toxicity endpoints, data are provided for hydrogen chloride and </w:t>
      </w:r>
      <w:r w:rsidR="00DC04B3" w:rsidRPr="00D93C78">
        <w:rPr>
          <w:szCs w:val="24"/>
        </w:rPr>
        <w:t xml:space="preserve">a </w:t>
      </w:r>
      <w:r w:rsidR="00AB7186" w:rsidRPr="00D93C78">
        <w:rPr>
          <w:szCs w:val="24"/>
        </w:rPr>
        <w:t xml:space="preserve">previously assessed alkylsilane, </w:t>
      </w:r>
      <w:r w:rsidR="00DC04B3" w:rsidRPr="00D93C78">
        <w:rPr>
          <w:szCs w:val="24"/>
        </w:rPr>
        <w:t>V</w:t>
      </w:r>
      <w:r w:rsidR="00AB7186" w:rsidRPr="00D93C78">
        <w:rPr>
          <w:szCs w:val="24"/>
        </w:rPr>
        <w:t xml:space="preserve">TMS.  </w:t>
      </w:r>
      <w:r w:rsidRPr="00D93C78">
        <w:rPr>
          <w:szCs w:val="24"/>
        </w:rPr>
        <w:t xml:space="preserve">The primary human health hazard for </w:t>
      </w:r>
      <w:r w:rsidR="002E55D5" w:rsidRPr="00D93C78">
        <w:rPr>
          <w:szCs w:val="24"/>
        </w:rPr>
        <w:t xml:space="preserve">the </w:t>
      </w:r>
      <w:r w:rsidR="00DC04B3" w:rsidRPr="00D93C78">
        <w:rPr>
          <w:szCs w:val="24"/>
        </w:rPr>
        <w:t>vinyl</w:t>
      </w:r>
      <w:r w:rsidR="00413FFD" w:rsidRPr="00D93C78">
        <w:rPr>
          <w:szCs w:val="24"/>
        </w:rPr>
        <w:t xml:space="preserve"> chlorosilanes</w:t>
      </w:r>
      <w:r w:rsidR="00C54AD4" w:rsidRPr="00D93C78">
        <w:rPr>
          <w:szCs w:val="24"/>
        </w:rPr>
        <w:t xml:space="preserve"> </w:t>
      </w:r>
      <w:r w:rsidRPr="00D93C78">
        <w:rPr>
          <w:szCs w:val="24"/>
        </w:rPr>
        <w:t>is considered to be exposure to the hydrogen chloride hydrolysis product.</w:t>
      </w:r>
      <w:r w:rsidR="00E161CA" w:rsidRPr="00D93C78">
        <w:rPr>
          <w:szCs w:val="24"/>
        </w:rPr>
        <w:t xml:space="preserve"> Hydrogen chloride will rapidly dissociate and its effects are thought to be a result of pH change (local deposition of H+). </w:t>
      </w:r>
    </w:p>
    <w:p w:rsidR="00C1433D" w:rsidRPr="00D93C78" w:rsidRDefault="00C1433D" w:rsidP="00D93C78">
      <w:pPr>
        <w:pStyle w:val="Heading3"/>
        <w:numPr>
          <w:ilvl w:val="0"/>
          <w:numId w:val="0"/>
        </w:numPr>
        <w:tabs>
          <w:tab w:val="clear" w:pos="2160"/>
        </w:tabs>
        <w:jc w:val="both"/>
        <w:rPr>
          <w:rFonts w:ascii="Times New Roman" w:hAnsi="Times New Roman"/>
          <w:szCs w:val="24"/>
        </w:rPr>
      </w:pPr>
      <w:bookmarkStart w:id="104" w:name="_Toc32726029"/>
      <w:bookmarkStart w:id="105" w:name="_Toc32727212"/>
      <w:bookmarkStart w:id="106" w:name="_Toc43868660"/>
      <w:bookmarkStart w:id="107" w:name="_Toc200358248"/>
      <w:bookmarkStart w:id="108" w:name="_Toc310335188"/>
      <w:r w:rsidRPr="00D93C78">
        <w:rPr>
          <w:rFonts w:ascii="Times New Roman" w:hAnsi="Times New Roman"/>
          <w:szCs w:val="24"/>
        </w:rPr>
        <w:t>3.1.1</w:t>
      </w:r>
      <w:r w:rsidRPr="00D93C78">
        <w:rPr>
          <w:rFonts w:ascii="Times New Roman" w:hAnsi="Times New Roman"/>
          <w:szCs w:val="24"/>
        </w:rPr>
        <w:tab/>
        <w:t>Toxicokinetics, Metabolism and Distribution</w:t>
      </w:r>
      <w:bookmarkEnd w:id="104"/>
      <w:bookmarkEnd w:id="105"/>
      <w:bookmarkEnd w:id="106"/>
      <w:bookmarkEnd w:id="107"/>
      <w:bookmarkEnd w:id="108"/>
    </w:p>
    <w:p w:rsidR="00BF4868" w:rsidRPr="00D93C78" w:rsidRDefault="00AB7186" w:rsidP="00D93C78">
      <w:pPr>
        <w:pStyle w:val="BodyText"/>
        <w:rPr>
          <w:szCs w:val="24"/>
          <w:lang w:val="en-US"/>
        </w:rPr>
      </w:pPr>
      <w:r w:rsidRPr="00D93C78">
        <w:rPr>
          <w:szCs w:val="24"/>
          <w:lang w:val="en-US"/>
        </w:rPr>
        <w:t xml:space="preserve">There are no </w:t>
      </w:r>
      <w:r w:rsidRPr="00D93C78">
        <w:rPr>
          <w:i/>
          <w:szCs w:val="24"/>
          <w:lang w:val="en-US"/>
        </w:rPr>
        <w:t>in vivo</w:t>
      </w:r>
      <w:r w:rsidRPr="00D93C78">
        <w:rPr>
          <w:szCs w:val="24"/>
          <w:lang w:val="en-US"/>
        </w:rPr>
        <w:t xml:space="preserve"> data available on the toxicokinetics of </w:t>
      </w:r>
      <w:r w:rsidR="00BF4868" w:rsidRPr="00D93C78">
        <w:rPr>
          <w:szCs w:val="24"/>
          <w:lang w:val="en-US"/>
        </w:rPr>
        <w:t>sponsored substances</w:t>
      </w:r>
      <w:r w:rsidRPr="00D93C78">
        <w:rPr>
          <w:szCs w:val="24"/>
          <w:lang w:val="en-US"/>
        </w:rPr>
        <w:t>; validated predictions of the physicochemical properties of the substance</w:t>
      </w:r>
      <w:r w:rsidR="00BF4868" w:rsidRPr="00D93C78">
        <w:rPr>
          <w:szCs w:val="24"/>
          <w:lang w:val="en-US"/>
        </w:rPr>
        <w:t>s</w:t>
      </w:r>
      <w:r w:rsidRPr="00D93C78">
        <w:rPr>
          <w:szCs w:val="24"/>
          <w:lang w:val="en-US"/>
        </w:rPr>
        <w:t xml:space="preserve"> and </w:t>
      </w:r>
      <w:r w:rsidR="00BF4868" w:rsidRPr="00D93C78">
        <w:rPr>
          <w:szCs w:val="24"/>
          <w:lang w:val="en-US"/>
        </w:rPr>
        <w:t>associated</w:t>
      </w:r>
      <w:r w:rsidRPr="00D93C78">
        <w:rPr>
          <w:szCs w:val="24"/>
          <w:lang w:val="en-US"/>
        </w:rPr>
        <w:t xml:space="preserve"> hydrolysis products are presented</w:t>
      </w:r>
      <w:r w:rsidR="00BF4868" w:rsidRPr="00D93C78">
        <w:rPr>
          <w:szCs w:val="24"/>
          <w:lang w:val="en-US"/>
        </w:rPr>
        <w:t xml:space="preserve">.  </w:t>
      </w:r>
      <w:r w:rsidR="004511FA" w:rsidRPr="00D93C78">
        <w:rPr>
          <w:szCs w:val="24"/>
          <w:lang w:val="en-US"/>
        </w:rPr>
        <w:t>Relevant inhalation exposure of the sponsored substances would be to the hydrolysis products (hydrolysis would occur rapidly when inhaled, even if a mixture of parent and hydrolysis products were present in air). The substances would also hydrolyze rapidly in contact with moist skin. The resulting HCl hydrolysis product would be severely irritating or corrosive.</w:t>
      </w:r>
    </w:p>
    <w:p w:rsidR="00AB7186" w:rsidRPr="00D93C78" w:rsidRDefault="00AB7186" w:rsidP="00D93C78">
      <w:pPr>
        <w:pStyle w:val="BodyText"/>
        <w:rPr>
          <w:b/>
          <w:szCs w:val="24"/>
          <w:lang w:val="en-US"/>
        </w:rPr>
      </w:pPr>
      <w:r w:rsidRPr="00D93C78">
        <w:rPr>
          <w:b/>
          <w:szCs w:val="24"/>
          <w:lang w:val="en-US"/>
        </w:rPr>
        <w:t>Absorption</w:t>
      </w:r>
    </w:p>
    <w:p w:rsidR="00AB7186" w:rsidRPr="00D93C78" w:rsidRDefault="00AB7186" w:rsidP="002E7209">
      <w:pPr>
        <w:pStyle w:val="Heading9"/>
      </w:pPr>
      <w:r w:rsidRPr="00D93C78">
        <w:t>Dermal</w:t>
      </w:r>
    </w:p>
    <w:p w:rsidR="00EA781B" w:rsidRPr="00D93C78" w:rsidRDefault="00EA781B" w:rsidP="00D93C78">
      <w:pPr>
        <w:pStyle w:val="BodyText"/>
        <w:rPr>
          <w:b/>
          <w:szCs w:val="24"/>
          <w:lang w:val="en-US"/>
        </w:rPr>
      </w:pPr>
      <w:r w:rsidRPr="00D93C78">
        <w:rPr>
          <w:szCs w:val="24"/>
          <w:lang w:val="en-US"/>
        </w:rPr>
        <w:t>The molecular weights of the sponsored substances and associated hydrolysis products favor absorption across the skin. However, the very high water solubility and low predicted log Kow of the hydrolysis products (Table 4), suggest that these silanols are too hydrophilic to cross the lipid rich stratum corneum. Therefore dermal uptake is likely to be low. Since the other hydrolysis product, HCl is corrosive to the skin; damage to the skin might increase penetration. There are no reliable studies to check for signs of dermal toxicity.</w:t>
      </w:r>
    </w:p>
    <w:p w:rsidR="00AB7186" w:rsidRPr="00D93C78" w:rsidRDefault="00AB7186" w:rsidP="00D93C78">
      <w:pPr>
        <w:pStyle w:val="BodyText"/>
        <w:rPr>
          <w:b/>
          <w:szCs w:val="24"/>
          <w:lang w:val="en-US"/>
        </w:rPr>
      </w:pPr>
      <w:r w:rsidRPr="00D93C78">
        <w:rPr>
          <w:b/>
          <w:szCs w:val="24"/>
          <w:lang w:val="en-US"/>
        </w:rPr>
        <w:t>Hydrolysis product</w:t>
      </w:r>
      <w:r w:rsidR="001B5E22" w:rsidRPr="00D93C78">
        <w:rPr>
          <w:b/>
          <w:szCs w:val="24"/>
          <w:lang w:val="en-US"/>
        </w:rPr>
        <w:t>:</w:t>
      </w:r>
    </w:p>
    <w:p w:rsidR="004511FA" w:rsidRPr="00D93C78" w:rsidRDefault="004511FA" w:rsidP="00D93C78">
      <w:pPr>
        <w:pStyle w:val="BodyText"/>
        <w:rPr>
          <w:szCs w:val="24"/>
          <w:lang w:val="en-US"/>
        </w:rPr>
      </w:pPr>
      <w:r w:rsidRPr="00D93C78">
        <w:rPr>
          <w:b/>
          <w:szCs w:val="24"/>
          <w:lang w:val="en-US"/>
        </w:rPr>
        <w:t>HCl</w:t>
      </w:r>
      <w:r w:rsidR="00D44F62" w:rsidRPr="00D93C78">
        <w:rPr>
          <w:b/>
          <w:szCs w:val="24"/>
          <w:lang w:val="en-US"/>
        </w:rPr>
        <w:t>:</w:t>
      </w:r>
      <w:r w:rsidRPr="00D93C78">
        <w:rPr>
          <w:szCs w:val="24"/>
          <w:lang w:val="en-US"/>
        </w:rPr>
        <w:t xml:space="preserve"> Since HCl is corrosive to the skin, damage to the skin might increase penetration of the silanol hydrolysis products.</w:t>
      </w:r>
    </w:p>
    <w:p w:rsidR="00AB7186" w:rsidRPr="00D93C78" w:rsidRDefault="00AB7186" w:rsidP="002E7209">
      <w:pPr>
        <w:pStyle w:val="Heading9"/>
      </w:pPr>
      <w:r w:rsidRPr="00D93C78">
        <w:t>Inhalation</w:t>
      </w:r>
    </w:p>
    <w:p w:rsidR="00EA781B" w:rsidRPr="00D93C78" w:rsidRDefault="00EA781B" w:rsidP="00D93C78">
      <w:pPr>
        <w:pStyle w:val="BodyText"/>
        <w:rPr>
          <w:szCs w:val="24"/>
          <w:lang w:val="en-US"/>
        </w:rPr>
      </w:pPr>
      <w:r w:rsidRPr="00D93C78">
        <w:rPr>
          <w:szCs w:val="24"/>
          <w:lang w:val="en-US"/>
        </w:rPr>
        <w:t xml:space="preserve">The high water solubility of the silanols might lead to some of the hydrolysis product being retained in the mucous of the lungs. As with dermal exposure, damage to membranes caused by the corrosive nature of the HCl hydrolysis product might enhance the uptake. </w:t>
      </w:r>
    </w:p>
    <w:p w:rsidR="00AB7186" w:rsidRPr="00D93C78" w:rsidRDefault="00AB7186" w:rsidP="00D93C78">
      <w:pPr>
        <w:pStyle w:val="BodyText"/>
        <w:rPr>
          <w:b/>
          <w:szCs w:val="24"/>
          <w:lang w:val="en-US"/>
        </w:rPr>
      </w:pPr>
      <w:r w:rsidRPr="00D93C78">
        <w:rPr>
          <w:b/>
          <w:szCs w:val="24"/>
          <w:lang w:val="en-US"/>
        </w:rPr>
        <w:t>Hydrolysis product</w:t>
      </w:r>
      <w:r w:rsidR="001B5E22" w:rsidRPr="00D93C78">
        <w:rPr>
          <w:b/>
          <w:szCs w:val="24"/>
          <w:lang w:val="en-US"/>
        </w:rPr>
        <w:t>:</w:t>
      </w:r>
    </w:p>
    <w:p w:rsidR="004511FA" w:rsidRPr="00D93C78" w:rsidRDefault="004511FA" w:rsidP="00D93C78">
      <w:pPr>
        <w:pStyle w:val="BodyText"/>
        <w:rPr>
          <w:b/>
          <w:szCs w:val="24"/>
          <w:lang w:val="en-US"/>
        </w:rPr>
      </w:pPr>
      <w:r w:rsidRPr="00D93C78">
        <w:rPr>
          <w:b/>
          <w:szCs w:val="24"/>
          <w:lang w:val="en-US"/>
        </w:rPr>
        <w:t>HCl</w:t>
      </w:r>
      <w:r w:rsidR="00D44F62" w:rsidRPr="00D93C78">
        <w:rPr>
          <w:b/>
          <w:szCs w:val="24"/>
          <w:lang w:val="en-US"/>
        </w:rPr>
        <w:t>:</w:t>
      </w:r>
      <w:r w:rsidRPr="00D93C78">
        <w:rPr>
          <w:szCs w:val="24"/>
          <w:lang w:val="en-US"/>
        </w:rPr>
        <w:t xml:space="preserve"> Damage to membranes caused by the corrosive nature of HCl might enhance the uptake of the sponsored substance</w:t>
      </w:r>
      <w:r w:rsidR="00C720E8" w:rsidRPr="00D93C78">
        <w:rPr>
          <w:szCs w:val="24"/>
          <w:lang w:val="en-US"/>
        </w:rPr>
        <w:t>s</w:t>
      </w:r>
      <w:r w:rsidRPr="00D93C78">
        <w:rPr>
          <w:szCs w:val="24"/>
          <w:lang w:val="en-US"/>
        </w:rPr>
        <w:t xml:space="preserve"> or the silanol hydrolysis products to the respiratory system.</w:t>
      </w:r>
    </w:p>
    <w:p w:rsidR="00AB7186" w:rsidRPr="00D93C78" w:rsidRDefault="00AB7186" w:rsidP="00D93C78">
      <w:pPr>
        <w:pStyle w:val="BodyText"/>
        <w:rPr>
          <w:b/>
          <w:szCs w:val="24"/>
          <w:lang w:val="en-US"/>
        </w:rPr>
      </w:pPr>
      <w:r w:rsidRPr="00D93C78">
        <w:rPr>
          <w:b/>
          <w:szCs w:val="24"/>
          <w:lang w:val="en-US"/>
        </w:rPr>
        <w:t>Distribution</w:t>
      </w:r>
    </w:p>
    <w:p w:rsidR="00EA781B" w:rsidRPr="00D93C78" w:rsidRDefault="00EA781B" w:rsidP="00D93C78">
      <w:pPr>
        <w:pStyle w:val="BodyText"/>
        <w:rPr>
          <w:szCs w:val="24"/>
          <w:lang w:val="en-US"/>
        </w:rPr>
      </w:pPr>
      <w:r w:rsidRPr="00D93C78">
        <w:rPr>
          <w:szCs w:val="24"/>
          <w:lang w:val="en-US"/>
        </w:rPr>
        <w:t xml:space="preserve">All absorbed material is likely to be in the form of the silanol hydrolysis products, and HCl. The hydrophilic nature of the silanol hydrolysis products limits diffusion across membranes (including the blood-brain and blood-testes barriers) and its accumulation in fatty tissues. </w:t>
      </w:r>
    </w:p>
    <w:p w:rsidR="00BF4868" w:rsidRPr="00D93C78" w:rsidRDefault="00BF4868" w:rsidP="00D93C78">
      <w:pPr>
        <w:pStyle w:val="BodyText"/>
        <w:rPr>
          <w:b/>
          <w:szCs w:val="24"/>
          <w:lang w:val="en-US"/>
        </w:rPr>
      </w:pPr>
      <w:r w:rsidRPr="00D93C78">
        <w:rPr>
          <w:b/>
          <w:szCs w:val="24"/>
          <w:lang w:val="en-US"/>
        </w:rPr>
        <w:t>Hydrolysis product</w:t>
      </w:r>
      <w:r w:rsidR="001B5E22" w:rsidRPr="00D93C78">
        <w:rPr>
          <w:b/>
          <w:szCs w:val="24"/>
          <w:lang w:val="en-US"/>
        </w:rPr>
        <w:t>:</w:t>
      </w:r>
    </w:p>
    <w:p w:rsidR="00BF4868" w:rsidRPr="00D93C78" w:rsidRDefault="00BF4868" w:rsidP="00D93C78">
      <w:pPr>
        <w:pStyle w:val="BodyText"/>
        <w:rPr>
          <w:szCs w:val="24"/>
        </w:rPr>
      </w:pPr>
      <w:r w:rsidRPr="00D93C78">
        <w:rPr>
          <w:b/>
          <w:szCs w:val="24"/>
          <w:lang w:val="en-US"/>
        </w:rPr>
        <w:t>HCl</w:t>
      </w:r>
      <w:r w:rsidR="00D44F62" w:rsidRPr="00D93C78">
        <w:rPr>
          <w:b/>
          <w:szCs w:val="24"/>
          <w:lang w:val="en-US"/>
        </w:rPr>
        <w:t>:</w:t>
      </w:r>
      <w:r w:rsidRPr="00D93C78">
        <w:rPr>
          <w:b/>
          <w:szCs w:val="24"/>
          <w:lang w:val="en-US"/>
        </w:rPr>
        <w:t xml:space="preserve"> </w:t>
      </w:r>
      <w:r w:rsidRPr="00D93C78">
        <w:rPr>
          <w:szCs w:val="24"/>
        </w:rPr>
        <w:t>Hydrogen and chloride ions will enter the body’s natural homeostatic processes.</w:t>
      </w:r>
    </w:p>
    <w:p w:rsidR="00AB7186" w:rsidRPr="00D93C78" w:rsidRDefault="00AB7186" w:rsidP="002E7209">
      <w:pPr>
        <w:pStyle w:val="BodyText"/>
        <w:rPr>
          <w:b/>
          <w:szCs w:val="24"/>
          <w:lang w:val="en-US"/>
        </w:rPr>
      </w:pPr>
      <w:r w:rsidRPr="00D93C78">
        <w:rPr>
          <w:b/>
          <w:szCs w:val="24"/>
          <w:lang w:val="en-US"/>
        </w:rPr>
        <w:t>Metabolism</w:t>
      </w:r>
    </w:p>
    <w:p w:rsidR="00EA781B" w:rsidRPr="00D93C78" w:rsidRDefault="00EA781B" w:rsidP="002E7209">
      <w:pPr>
        <w:pStyle w:val="BodyText"/>
        <w:rPr>
          <w:szCs w:val="24"/>
          <w:lang w:val="en-US"/>
        </w:rPr>
      </w:pPr>
      <w:r w:rsidRPr="00D93C78">
        <w:rPr>
          <w:szCs w:val="24"/>
          <w:lang w:val="en-US"/>
        </w:rPr>
        <w:t xml:space="preserve">The vinyl chlorosilanes rapidly hydrolyze to silanols and HCl in the presence of moisture. Most if not all of this will have occurred before absorption into the body. There are no data regarding the metabolism of the silanol hydrolysis products. </w:t>
      </w:r>
    </w:p>
    <w:p w:rsidR="00BF4868" w:rsidRPr="00D93C78" w:rsidRDefault="00BF4868" w:rsidP="002E7209">
      <w:pPr>
        <w:pStyle w:val="BodyText"/>
        <w:rPr>
          <w:b/>
          <w:szCs w:val="24"/>
          <w:lang w:val="en-US"/>
        </w:rPr>
      </w:pPr>
      <w:r w:rsidRPr="00D93C78">
        <w:rPr>
          <w:b/>
          <w:szCs w:val="24"/>
          <w:lang w:val="en-US"/>
        </w:rPr>
        <w:t>Hydrolysis product</w:t>
      </w:r>
      <w:r w:rsidR="001B5E22" w:rsidRPr="00D93C78">
        <w:rPr>
          <w:b/>
          <w:szCs w:val="24"/>
          <w:lang w:val="en-US"/>
        </w:rPr>
        <w:t>:</w:t>
      </w:r>
    </w:p>
    <w:p w:rsidR="00BF4868" w:rsidRPr="00D93C78" w:rsidRDefault="00BF4868" w:rsidP="002E7209">
      <w:pPr>
        <w:jc w:val="both"/>
      </w:pPr>
      <w:r w:rsidRPr="00D93C78">
        <w:rPr>
          <w:b/>
        </w:rPr>
        <w:t>HCl</w:t>
      </w:r>
      <w:r w:rsidR="00D44F62" w:rsidRPr="00D93C78">
        <w:rPr>
          <w:b/>
        </w:rPr>
        <w:t>:</w:t>
      </w:r>
      <w:r w:rsidRPr="00D93C78">
        <w:t xml:space="preserve"> Hydrogen chloride will rapidly dissociate and its effects are thought to be a result of pH change (local deposition of H+).</w:t>
      </w:r>
    </w:p>
    <w:p w:rsidR="00AB7186" w:rsidRPr="00D93C78" w:rsidRDefault="00AB7186" w:rsidP="002E7209">
      <w:pPr>
        <w:pStyle w:val="BodyText"/>
        <w:rPr>
          <w:b/>
          <w:szCs w:val="24"/>
          <w:lang w:val="en-US"/>
        </w:rPr>
      </w:pPr>
      <w:r w:rsidRPr="00D93C78">
        <w:rPr>
          <w:b/>
          <w:szCs w:val="24"/>
          <w:lang w:val="en-US"/>
        </w:rPr>
        <w:t>Excretion</w:t>
      </w:r>
    </w:p>
    <w:p w:rsidR="00EA781B" w:rsidRPr="00D93C78" w:rsidRDefault="00EA781B" w:rsidP="00D93C78">
      <w:pPr>
        <w:pStyle w:val="BodyText"/>
        <w:rPr>
          <w:szCs w:val="24"/>
          <w:lang w:val="en-US"/>
        </w:rPr>
      </w:pPr>
      <w:r w:rsidRPr="00D93C78">
        <w:rPr>
          <w:szCs w:val="24"/>
          <w:lang w:val="en-US"/>
        </w:rPr>
        <w:t>The low molecular weight and high water solubility of the silanol hydrolysis products suggest that they are likely to be rapidly eliminated via the kidneys in urine. There is therefore no evidence to suggest that these substances will accumulate in the body.</w:t>
      </w:r>
    </w:p>
    <w:p w:rsidR="00C1433D" w:rsidRPr="00D93C78" w:rsidRDefault="00C1433D" w:rsidP="00D93C78">
      <w:pPr>
        <w:pStyle w:val="Heading8"/>
        <w:jc w:val="both"/>
      </w:pPr>
      <w:r w:rsidRPr="00D93C78">
        <w:t>Conclusion</w:t>
      </w:r>
    </w:p>
    <w:p w:rsidR="00C1433D" w:rsidRPr="00D93C78" w:rsidRDefault="00C1433D" w:rsidP="00D93C78">
      <w:pPr>
        <w:pStyle w:val="BodyText"/>
        <w:rPr>
          <w:szCs w:val="24"/>
        </w:rPr>
      </w:pPr>
      <w:r w:rsidRPr="00D93C78">
        <w:rPr>
          <w:szCs w:val="24"/>
          <w:lang w:val="en-US"/>
        </w:rPr>
        <w:t xml:space="preserve">No data are available on the toxicokinetics, metabolism and distribution of </w:t>
      </w:r>
      <w:r w:rsidR="00BB5CD6" w:rsidRPr="00D93C78">
        <w:rPr>
          <w:szCs w:val="24"/>
          <w:lang w:val="en-US"/>
        </w:rPr>
        <w:t xml:space="preserve">the </w:t>
      </w:r>
      <w:r w:rsidR="00EA781B" w:rsidRPr="00D93C78">
        <w:rPr>
          <w:szCs w:val="24"/>
          <w:lang w:val="en-US"/>
        </w:rPr>
        <w:t>vinyl</w:t>
      </w:r>
      <w:r w:rsidR="00BB5CD6" w:rsidRPr="00D93C78">
        <w:rPr>
          <w:szCs w:val="24"/>
          <w:lang w:val="en-US"/>
        </w:rPr>
        <w:t xml:space="preserve"> chlorosilanes</w:t>
      </w:r>
      <w:r w:rsidRPr="00D93C78">
        <w:rPr>
          <w:szCs w:val="24"/>
          <w:lang w:val="en-US"/>
        </w:rPr>
        <w:t xml:space="preserve">.  However, </w:t>
      </w:r>
      <w:r w:rsidR="00BB5CD6" w:rsidRPr="00D93C78">
        <w:rPr>
          <w:szCs w:val="24"/>
          <w:lang w:val="en-US"/>
        </w:rPr>
        <w:t>these substances</w:t>
      </w:r>
      <w:r w:rsidRPr="00D93C78">
        <w:rPr>
          <w:szCs w:val="24"/>
          <w:lang w:val="en-US"/>
        </w:rPr>
        <w:t xml:space="preserve"> </w:t>
      </w:r>
      <w:r w:rsidR="009905A0" w:rsidRPr="00D93C78">
        <w:rPr>
          <w:szCs w:val="24"/>
          <w:lang w:val="en-US"/>
        </w:rPr>
        <w:t xml:space="preserve">are expected to </w:t>
      </w:r>
      <w:r w:rsidRPr="00D93C78">
        <w:rPr>
          <w:szCs w:val="24"/>
          <w:lang w:val="en-US"/>
        </w:rPr>
        <w:t>rapidly hydroly</w:t>
      </w:r>
      <w:r w:rsidR="006600E4" w:rsidRPr="00D93C78">
        <w:rPr>
          <w:szCs w:val="24"/>
          <w:lang w:val="en-US"/>
        </w:rPr>
        <w:t>ze</w:t>
      </w:r>
      <w:r w:rsidRPr="00D93C78">
        <w:rPr>
          <w:szCs w:val="24"/>
          <w:lang w:val="en-US"/>
        </w:rPr>
        <w:t xml:space="preserve"> on contact with moisture.  </w:t>
      </w:r>
      <w:r w:rsidR="009905A0" w:rsidRPr="00D93C78">
        <w:rPr>
          <w:szCs w:val="24"/>
        </w:rPr>
        <w:t>Although t</w:t>
      </w:r>
      <w:r w:rsidR="00EA781B" w:rsidRPr="00D93C78">
        <w:rPr>
          <w:szCs w:val="24"/>
        </w:rPr>
        <w:t>he</w:t>
      </w:r>
      <w:r w:rsidR="00A82D17" w:rsidRPr="00D93C78">
        <w:rPr>
          <w:szCs w:val="24"/>
        </w:rPr>
        <w:t xml:space="preserve"> silanol hydrolysis products</w:t>
      </w:r>
      <w:r w:rsidR="00EA781B" w:rsidRPr="00D93C78">
        <w:rPr>
          <w:szCs w:val="24"/>
        </w:rPr>
        <w:t xml:space="preserve"> are not expected to </w:t>
      </w:r>
      <w:r w:rsidR="00A82D17" w:rsidRPr="00D93C78">
        <w:rPr>
          <w:szCs w:val="24"/>
        </w:rPr>
        <w:t>be absorbed across the skin</w:t>
      </w:r>
      <w:r w:rsidR="006600E4" w:rsidRPr="00D93C78">
        <w:rPr>
          <w:szCs w:val="24"/>
        </w:rPr>
        <w:t xml:space="preserve"> or respiratory epithelium</w:t>
      </w:r>
      <w:r w:rsidR="009905A0" w:rsidRPr="00D93C78">
        <w:rPr>
          <w:szCs w:val="24"/>
        </w:rPr>
        <w:t>,</w:t>
      </w:r>
      <w:r w:rsidR="009905A0" w:rsidRPr="00D93C78" w:rsidDel="009905A0">
        <w:rPr>
          <w:szCs w:val="24"/>
        </w:rPr>
        <w:t xml:space="preserve"> </w:t>
      </w:r>
      <w:r w:rsidR="00377541" w:rsidRPr="00D93C78">
        <w:rPr>
          <w:szCs w:val="24"/>
          <w:lang w:val="en-US"/>
        </w:rPr>
        <w:t>damage</w:t>
      </w:r>
      <w:r w:rsidR="006600E4" w:rsidRPr="00D93C78">
        <w:rPr>
          <w:szCs w:val="24"/>
          <w:lang w:val="en-US"/>
        </w:rPr>
        <w:t xml:space="preserve"> to membranes caused by HCl</w:t>
      </w:r>
      <w:r w:rsidR="009905A0" w:rsidRPr="00D93C78">
        <w:rPr>
          <w:szCs w:val="24"/>
          <w:lang w:val="en-US"/>
        </w:rPr>
        <w:t>’s corrosivity</w:t>
      </w:r>
      <w:r w:rsidR="006600E4" w:rsidRPr="00D93C78">
        <w:rPr>
          <w:szCs w:val="24"/>
          <w:lang w:val="en-US"/>
        </w:rPr>
        <w:t xml:space="preserve"> might enhance the uptake of the sponsored substances or the silanol hydrolysis products. </w:t>
      </w:r>
      <w:r w:rsidR="009905A0" w:rsidRPr="00D93C78">
        <w:rPr>
          <w:szCs w:val="24"/>
        </w:rPr>
        <w:t>T</w:t>
      </w:r>
      <w:r w:rsidR="00A82D17" w:rsidRPr="00D93C78">
        <w:rPr>
          <w:szCs w:val="24"/>
        </w:rPr>
        <w:t xml:space="preserve">he hydrophilic nature of </w:t>
      </w:r>
      <w:r w:rsidR="00EA781B" w:rsidRPr="00D93C78">
        <w:rPr>
          <w:szCs w:val="24"/>
        </w:rPr>
        <w:t>the silanol hydrolysis products</w:t>
      </w:r>
      <w:r w:rsidR="00A82D17" w:rsidRPr="00D93C78">
        <w:rPr>
          <w:szCs w:val="24"/>
        </w:rPr>
        <w:t xml:space="preserve"> </w:t>
      </w:r>
      <w:r w:rsidR="00EA781B" w:rsidRPr="00D93C78">
        <w:rPr>
          <w:szCs w:val="24"/>
        </w:rPr>
        <w:t>is</w:t>
      </w:r>
      <w:r w:rsidR="006600E4" w:rsidRPr="00D93C78">
        <w:rPr>
          <w:szCs w:val="24"/>
        </w:rPr>
        <w:t xml:space="preserve"> expected to </w:t>
      </w:r>
      <w:r w:rsidR="00A82D17" w:rsidRPr="00D93C78">
        <w:rPr>
          <w:szCs w:val="24"/>
        </w:rPr>
        <w:t>limit diffusion across membranes and accumulation in fatty tissues.</w:t>
      </w:r>
      <w:r w:rsidR="006600E4" w:rsidRPr="00D93C78">
        <w:rPr>
          <w:szCs w:val="24"/>
        </w:rPr>
        <w:t xml:space="preserve"> Hydrogen and chloride ions will enter the body’s natural homeostatic processes. HCl will rapidly dissociate and its effects are thought to be a result of pH change (local deposition of H+). The low molecular weight and water solubility of the silanols suggest elimination via the kidneys in urine.</w:t>
      </w:r>
    </w:p>
    <w:p w:rsidR="00C1433D" w:rsidRPr="00D93C78" w:rsidRDefault="00C1433D" w:rsidP="00D93C78">
      <w:pPr>
        <w:pStyle w:val="Heading3"/>
        <w:numPr>
          <w:ilvl w:val="0"/>
          <w:numId w:val="0"/>
        </w:numPr>
        <w:tabs>
          <w:tab w:val="clear" w:pos="2160"/>
        </w:tabs>
        <w:jc w:val="both"/>
        <w:rPr>
          <w:rFonts w:ascii="Times New Roman" w:hAnsi="Times New Roman"/>
          <w:szCs w:val="24"/>
        </w:rPr>
      </w:pPr>
      <w:bookmarkStart w:id="109" w:name="_Toc32726030"/>
      <w:bookmarkStart w:id="110" w:name="_Toc32727213"/>
      <w:bookmarkStart w:id="111" w:name="_Toc43868661"/>
      <w:bookmarkStart w:id="112" w:name="_Toc200358249"/>
      <w:bookmarkStart w:id="113" w:name="_Toc310335189"/>
      <w:r w:rsidRPr="00D93C78">
        <w:rPr>
          <w:rFonts w:ascii="Times New Roman" w:hAnsi="Times New Roman"/>
          <w:szCs w:val="24"/>
        </w:rPr>
        <w:t>3.1.2</w:t>
      </w:r>
      <w:r w:rsidRPr="00D93C78">
        <w:rPr>
          <w:rFonts w:ascii="Times New Roman" w:hAnsi="Times New Roman"/>
          <w:szCs w:val="24"/>
        </w:rPr>
        <w:tab/>
        <w:t>Acute Toxicity</w:t>
      </w:r>
      <w:bookmarkEnd w:id="109"/>
      <w:bookmarkEnd w:id="110"/>
      <w:bookmarkEnd w:id="111"/>
      <w:bookmarkEnd w:id="112"/>
      <w:bookmarkEnd w:id="113"/>
    </w:p>
    <w:p w:rsidR="00C1433D" w:rsidRPr="00D93C78" w:rsidRDefault="00C1433D" w:rsidP="00D93C78">
      <w:pPr>
        <w:pStyle w:val="BodyText"/>
        <w:rPr>
          <w:szCs w:val="24"/>
        </w:rPr>
      </w:pPr>
      <w:r w:rsidRPr="00D93C78">
        <w:rPr>
          <w:szCs w:val="24"/>
        </w:rPr>
        <w:t xml:space="preserve">Acute </w:t>
      </w:r>
      <w:r w:rsidR="00181E9A" w:rsidRPr="00D93C78">
        <w:rPr>
          <w:szCs w:val="24"/>
        </w:rPr>
        <w:t>inhalation</w:t>
      </w:r>
      <w:r w:rsidR="00C33EA4" w:rsidRPr="00D93C78">
        <w:rPr>
          <w:szCs w:val="24"/>
        </w:rPr>
        <w:t>, oral</w:t>
      </w:r>
      <w:r w:rsidR="00181E9A" w:rsidRPr="00D93C78">
        <w:rPr>
          <w:szCs w:val="24"/>
        </w:rPr>
        <w:t xml:space="preserve"> and dermal </w:t>
      </w:r>
      <w:r w:rsidRPr="00D93C78">
        <w:rPr>
          <w:szCs w:val="24"/>
        </w:rPr>
        <w:t xml:space="preserve">toxicity </w:t>
      </w:r>
      <w:r w:rsidR="004E4D28" w:rsidRPr="00D93C78">
        <w:rPr>
          <w:szCs w:val="24"/>
        </w:rPr>
        <w:t>study data</w:t>
      </w:r>
      <w:r w:rsidRPr="00D93C78">
        <w:rPr>
          <w:szCs w:val="24"/>
        </w:rPr>
        <w:t xml:space="preserve"> are available for </w:t>
      </w:r>
      <w:r w:rsidR="00C50B9B" w:rsidRPr="00D93C78">
        <w:rPr>
          <w:szCs w:val="24"/>
        </w:rPr>
        <w:t xml:space="preserve">the </w:t>
      </w:r>
      <w:r w:rsidR="002749D0" w:rsidRPr="00D93C78">
        <w:rPr>
          <w:szCs w:val="24"/>
        </w:rPr>
        <w:t>vinyl</w:t>
      </w:r>
      <w:r w:rsidR="00413FFD" w:rsidRPr="00D93C78">
        <w:rPr>
          <w:szCs w:val="24"/>
        </w:rPr>
        <w:t xml:space="preserve"> chlorosilanes</w:t>
      </w:r>
      <w:r w:rsidR="00A0751A" w:rsidRPr="00D93C78">
        <w:rPr>
          <w:szCs w:val="24"/>
        </w:rPr>
        <w:t xml:space="preserve">.  </w:t>
      </w:r>
      <w:r w:rsidRPr="00D93C78">
        <w:rPr>
          <w:szCs w:val="24"/>
        </w:rPr>
        <w:t>Acute</w:t>
      </w:r>
      <w:r w:rsidR="004E4D28" w:rsidRPr="00D93C78">
        <w:rPr>
          <w:szCs w:val="24"/>
        </w:rPr>
        <w:t xml:space="preserve"> </w:t>
      </w:r>
      <w:r w:rsidRPr="00D93C78">
        <w:rPr>
          <w:szCs w:val="24"/>
        </w:rPr>
        <w:t xml:space="preserve">toxicity data are presented for </w:t>
      </w:r>
      <w:r w:rsidR="004E4D28" w:rsidRPr="00D93C78">
        <w:rPr>
          <w:szCs w:val="24"/>
        </w:rPr>
        <w:t>the hydrolysis product, HCl</w:t>
      </w:r>
      <w:r w:rsidR="00E4256A" w:rsidRPr="00D93C78">
        <w:rPr>
          <w:szCs w:val="24"/>
        </w:rPr>
        <w:t xml:space="preserve"> (inhalation and oral)</w:t>
      </w:r>
      <w:r w:rsidRPr="00D93C78">
        <w:rPr>
          <w:szCs w:val="24"/>
        </w:rPr>
        <w:t>.</w:t>
      </w:r>
    </w:p>
    <w:p w:rsidR="00C1433D" w:rsidRPr="00D93C78" w:rsidRDefault="00C1433D" w:rsidP="00D93C78">
      <w:pPr>
        <w:pStyle w:val="Heading8"/>
        <w:jc w:val="both"/>
      </w:pPr>
      <w:r w:rsidRPr="00D93C78">
        <w:t>Studies in Animals</w:t>
      </w:r>
    </w:p>
    <w:p w:rsidR="00C1433D" w:rsidRPr="00D93C78" w:rsidRDefault="00C1433D" w:rsidP="00D93C78">
      <w:pPr>
        <w:pStyle w:val="Heading9"/>
        <w:jc w:val="both"/>
      </w:pPr>
      <w:r w:rsidRPr="00D93C78">
        <w:t>Inhalation</w:t>
      </w:r>
    </w:p>
    <w:p w:rsidR="008F27AE" w:rsidRPr="00D93C78" w:rsidRDefault="000A1E84" w:rsidP="00D93C78">
      <w:pPr>
        <w:pStyle w:val="BodyText"/>
        <w:rPr>
          <w:b/>
          <w:szCs w:val="24"/>
        </w:rPr>
      </w:pPr>
      <w:r w:rsidRPr="00D93C78">
        <w:rPr>
          <w:b/>
          <w:i/>
          <w:szCs w:val="24"/>
        </w:rPr>
        <w:t>Sponsored substances</w:t>
      </w:r>
    </w:p>
    <w:p w:rsidR="00C50B9B" w:rsidRDefault="006C42BC" w:rsidP="00D93C78">
      <w:pPr>
        <w:jc w:val="both"/>
      </w:pPr>
      <w:r w:rsidRPr="00D93C78">
        <w:rPr>
          <w:b/>
        </w:rPr>
        <w:t>VDCS</w:t>
      </w:r>
      <w:r w:rsidR="00D44F62" w:rsidRPr="00D93C78">
        <w:rPr>
          <w:b/>
        </w:rPr>
        <w:t>:</w:t>
      </w:r>
      <w:r w:rsidR="00C50B9B" w:rsidRPr="00D93C78">
        <w:t xml:space="preserve"> </w:t>
      </w:r>
      <w:r w:rsidR="00204743" w:rsidRPr="00D93C78">
        <w:t>Fischer 344</w:t>
      </w:r>
      <w:r w:rsidR="00567551" w:rsidRPr="00D93C78">
        <w:t xml:space="preserve"> rats </w:t>
      </w:r>
      <w:r w:rsidR="000E7519" w:rsidRPr="00D93C78">
        <w:t xml:space="preserve">(5/sex/concentration) </w:t>
      </w:r>
      <w:r w:rsidR="00567551" w:rsidRPr="00D93C78">
        <w:t xml:space="preserve">were exposed by whole body inhalation to </w:t>
      </w:r>
      <w:r w:rsidR="00204743" w:rsidRPr="00D93C78">
        <w:t>1597, 2005, 2119 and 2242 ppm (nominal</w:t>
      </w:r>
      <w:r w:rsidR="00DB6DD2" w:rsidRPr="00D93C78">
        <w:t>; 6.80, 8.54, 9.02, and 9.55 mg/L</w:t>
      </w:r>
      <w:r w:rsidR="00204743" w:rsidRPr="00D93C78">
        <w:t>)</w:t>
      </w:r>
      <w:r w:rsidR="00567551" w:rsidRPr="00D93C78">
        <w:t xml:space="preserve"> for one hour (Dow Corning Corporation, 200</w:t>
      </w:r>
      <w:r w:rsidR="00204743" w:rsidRPr="00D93C78">
        <w:t>2</w:t>
      </w:r>
      <w:r w:rsidR="00567551" w:rsidRPr="00D93C78">
        <w:t>).</w:t>
      </w:r>
      <w:r w:rsidR="00C50B9B" w:rsidRPr="00D93C78">
        <w:t xml:space="preserve">  </w:t>
      </w:r>
      <w:r w:rsidR="00204743" w:rsidRPr="00D93C78">
        <w:t xml:space="preserve">There were 1, 5, 6 and 8 deaths at </w:t>
      </w:r>
      <w:r w:rsidR="00DB6DD2" w:rsidRPr="00D93C78">
        <w:t>6.80, 8.54, 9.02, and 9.55 mg/L</w:t>
      </w:r>
      <w:r w:rsidR="00204743" w:rsidRPr="00D93C78">
        <w:t xml:space="preserve">, respectively. </w:t>
      </w:r>
      <w:r w:rsidR="000E7519" w:rsidRPr="00D93C78">
        <w:t>The rats were observed for 14 days</w:t>
      </w:r>
      <w:r w:rsidR="00FB6D23" w:rsidRPr="00D93C78">
        <w:t>.</w:t>
      </w:r>
      <w:r w:rsidR="000E7519" w:rsidRPr="00D93C78">
        <w:t xml:space="preserve"> </w:t>
      </w:r>
      <w:r w:rsidR="00567551" w:rsidRPr="00D93C78">
        <w:t xml:space="preserve">The principal clinical signs were indicative </w:t>
      </w:r>
      <w:r w:rsidR="00204743" w:rsidRPr="00D93C78">
        <w:t xml:space="preserve">of effects on the respiratory tract, eyes and of generalized stress and/or general unthriftiness (staining, soiling, </w:t>
      </w:r>
      <w:r w:rsidR="00185A90" w:rsidRPr="00D93C78">
        <w:t>and encrustation</w:t>
      </w:r>
      <w:r w:rsidR="00204743" w:rsidRPr="00D93C78">
        <w:t xml:space="preserve">). Labored breathing, rales, gasping, lacrimation, dried red material around the nose, eyes and/or mouth, corneal opacity, hypoactivity, and salivation were also observed. Corneal opacities were first observed on the day of or the day after exposure in all cases, and persisted in many survivors to the scheduled necropsy. All animals lost weight.  Necropsy findings included bilateral or unilateral corneal opacities and other ocular abnormalities, various external stains and areas of hair loss, missing, misshapen or shrunken extremities, eyelids crusted shut, decreased or absent body fat, obstructed nostrils, gaseous distension of the gastrointestinal tract, dehydration, a dried and firm nose, pulmonary congestion, consolidation, hemorrhage and/or ectasia and abnormal stomach contents. </w:t>
      </w:r>
      <w:r w:rsidR="002D074D" w:rsidRPr="00D93C78">
        <w:t>The one-hour combined male/female LC</w:t>
      </w:r>
      <w:r w:rsidR="002D074D" w:rsidRPr="00D93C78">
        <w:rPr>
          <w:vertAlign w:val="subscript"/>
        </w:rPr>
        <w:t>50</w:t>
      </w:r>
      <w:r w:rsidR="002D074D" w:rsidRPr="00D93C78">
        <w:t xml:space="preserve"> was</w:t>
      </w:r>
      <w:r w:rsidR="00FB6D23" w:rsidRPr="00D93C78">
        <w:t xml:space="preserve"> &gt;</w:t>
      </w:r>
      <w:r w:rsidR="00C62D6F" w:rsidRPr="00D93C78">
        <w:t xml:space="preserve"> </w:t>
      </w:r>
      <w:r w:rsidR="000A1E84" w:rsidRPr="00D93C78">
        <w:t>2021</w:t>
      </w:r>
      <w:r w:rsidR="00FB6D23" w:rsidRPr="00D93C78">
        <w:t xml:space="preserve"> - </w:t>
      </w:r>
      <w:r w:rsidR="00FB6D23" w:rsidRPr="00D93C78">
        <w:rPr>
          <w:u w:val="single"/>
        </w:rPr>
        <w:t>&lt;</w:t>
      </w:r>
      <w:r w:rsidR="00C62D6F" w:rsidRPr="00D93C78">
        <w:t xml:space="preserve"> </w:t>
      </w:r>
      <w:r w:rsidR="00FB6D23" w:rsidRPr="00D93C78">
        <w:t>2257</w:t>
      </w:r>
      <w:r w:rsidR="000A1E84" w:rsidRPr="00D93C78">
        <w:t xml:space="preserve"> ppm</w:t>
      </w:r>
      <w:r w:rsidR="000E7519" w:rsidRPr="00D93C78">
        <w:t xml:space="preserve"> </w:t>
      </w:r>
      <w:r w:rsidR="00FB6D23" w:rsidRPr="00D93C78">
        <w:t>(&gt;</w:t>
      </w:r>
      <w:r w:rsidR="00C62D6F" w:rsidRPr="00D93C78">
        <w:t xml:space="preserve"> </w:t>
      </w:r>
      <w:r w:rsidR="00FB6D23" w:rsidRPr="00D93C78">
        <w:t xml:space="preserve">8.61 mg/L - </w:t>
      </w:r>
      <w:r w:rsidR="00FB6D23" w:rsidRPr="00D93C78">
        <w:rPr>
          <w:u w:val="single"/>
        </w:rPr>
        <w:t>&lt;</w:t>
      </w:r>
      <w:r w:rsidR="00C62D6F" w:rsidRPr="00D93C78">
        <w:t xml:space="preserve"> </w:t>
      </w:r>
      <w:r w:rsidR="00FB6D23" w:rsidRPr="00D93C78">
        <w:t>9.61 mg/L</w:t>
      </w:r>
      <w:r w:rsidR="002D074D" w:rsidRPr="00D93C78">
        <w:t>; nominal).</w:t>
      </w:r>
      <w:r w:rsidR="000147CF" w:rsidRPr="00D93C78">
        <w:t xml:space="preserve"> </w:t>
      </w:r>
      <w:r w:rsidR="000E7519" w:rsidRPr="00D93C78">
        <w:t>This deviated from OECD TG 403 since it was conducted for only one hour.</w:t>
      </w:r>
    </w:p>
    <w:p w:rsidR="00CB3176" w:rsidRPr="00D93C78" w:rsidRDefault="00CB3176" w:rsidP="00D93C78">
      <w:pPr>
        <w:jc w:val="both"/>
      </w:pPr>
    </w:p>
    <w:p w:rsidR="00577609" w:rsidRPr="00D93C78" w:rsidRDefault="002D4BDB" w:rsidP="00D93C78">
      <w:pPr>
        <w:jc w:val="both"/>
      </w:pPr>
      <w:r w:rsidRPr="00D93C78">
        <w:rPr>
          <w:b/>
        </w:rPr>
        <w:t>VTCS</w:t>
      </w:r>
      <w:r w:rsidR="002D074D" w:rsidRPr="00D93C78">
        <w:t xml:space="preserve">: </w:t>
      </w:r>
      <w:r w:rsidR="00B95895" w:rsidRPr="00D93C78">
        <w:t xml:space="preserve">(1) </w:t>
      </w:r>
      <w:r w:rsidR="00F40E0B" w:rsidRPr="00D93C78">
        <w:t>G</w:t>
      </w:r>
      <w:r w:rsidR="00AC4F57" w:rsidRPr="00D93C78">
        <w:t xml:space="preserve">roups of 5 </w:t>
      </w:r>
      <w:r w:rsidRPr="00D93C78">
        <w:t>Fischer 344</w:t>
      </w:r>
      <w:r w:rsidR="00AC4F57" w:rsidRPr="00D93C78">
        <w:t xml:space="preserve"> rats/sex were exposed by </w:t>
      </w:r>
      <w:r w:rsidRPr="00D93C78">
        <w:t>whole body</w:t>
      </w:r>
      <w:r w:rsidR="00AC4F57" w:rsidRPr="00D93C78">
        <w:t xml:space="preserve"> inhalation to </w:t>
      </w:r>
      <w:r w:rsidRPr="00D93C78">
        <w:rPr>
          <w:lang w:val="en-GB"/>
        </w:rPr>
        <w:t xml:space="preserve">500, 575 665 and 832 ppm (mean chamber concentration; </w:t>
      </w:r>
      <w:r w:rsidR="000147CF" w:rsidRPr="00D93C78">
        <w:rPr>
          <w:lang w:val="en-GB"/>
        </w:rPr>
        <w:t>3.30, 3.80, 4.39, and 5.49 mg/L</w:t>
      </w:r>
      <w:r w:rsidRPr="00D93C78">
        <w:t>) for one hour</w:t>
      </w:r>
      <w:r w:rsidR="00F40E0B" w:rsidRPr="00D93C78">
        <w:t xml:space="preserve"> (</w:t>
      </w:r>
      <w:r w:rsidR="00441172" w:rsidRPr="00D93C78">
        <w:t>Kolesar et al.</w:t>
      </w:r>
      <w:r w:rsidR="00F40E0B" w:rsidRPr="00D93C78">
        <w:t>, 19</w:t>
      </w:r>
      <w:r w:rsidR="00FB6D23" w:rsidRPr="00D93C78">
        <w:t>9</w:t>
      </w:r>
      <w:r w:rsidR="00F40E0B" w:rsidRPr="00D93C78">
        <w:t>7)</w:t>
      </w:r>
      <w:r w:rsidRPr="00D93C78">
        <w:t>.</w:t>
      </w:r>
      <w:r w:rsidRPr="00D93C78">
        <w:rPr>
          <w:lang w:val="en-GB"/>
        </w:rPr>
        <w:t xml:space="preserve"> </w:t>
      </w:r>
      <w:r w:rsidR="0072795D" w:rsidRPr="00D93C78">
        <w:rPr>
          <w:lang w:val="en-GB"/>
        </w:rPr>
        <w:t xml:space="preserve">The nominal </w:t>
      </w:r>
      <w:r w:rsidRPr="00D93C78">
        <w:rPr>
          <w:lang w:val="en-GB"/>
        </w:rPr>
        <w:t xml:space="preserve">chamber concentrations </w:t>
      </w:r>
      <w:r w:rsidR="0072795D" w:rsidRPr="00D93C78">
        <w:rPr>
          <w:lang w:val="en-GB"/>
        </w:rPr>
        <w:t xml:space="preserve">of </w:t>
      </w:r>
      <w:r w:rsidRPr="00D93C78">
        <w:rPr>
          <w:lang w:val="en-GB"/>
        </w:rPr>
        <w:t>1186, 1681, 1605 and 1989 ppm</w:t>
      </w:r>
      <w:r w:rsidR="0072795D" w:rsidRPr="00D93C78">
        <w:rPr>
          <w:lang w:val="en-GB"/>
        </w:rPr>
        <w:t xml:space="preserve"> (7.83, 11.10, 10.59, and 13.13 mg/L)</w:t>
      </w:r>
      <w:r w:rsidRPr="00D93C78">
        <w:rPr>
          <w:lang w:val="en-GB"/>
        </w:rPr>
        <w:t>, respectively</w:t>
      </w:r>
      <w:r w:rsidR="0072795D" w:rsidRPr="00D93C78">
        <w:rPr>
          <w:lang w:val="en-GB"/>
        </w:rPr>
        <w:t xml:space="preserve">, </w:t>
      </w:r>
      <w:r w:rsidRPr="00D93C78">
        <w:rPr>
          <w:lang w:val="en-GB"/>
        </w:rPr>
        <w:t>were significantly higher than the actual concentrations due to hydrolysis of the test substance.</w:t>
      </w:r>
      <w:r w:rsidR="00F40E0B" w:rsidRPr="00D93C78">
        <w:t xml:space="preserve">  </w:t>
      </w:r>
      <w:r w:rsidRPr="00D93C78">
        <w:t>Respiratory, eye (corneal opacities, alopecia around eyes, drainage/discharge from eyes, dried material eyes and closed or partially closed eyes), nasal effects (dried material/crustation on and around the nose) and soiling were observed in all groups. Other clinical signs included reduced activity, labored breathing, rales</w:t>
      </w:r>
      <w:r w:rsidR="00F40E0B" w:rsidRPr="00D93C78">
        <w:t>,</w:t>
      </w:r>
      <w:r w:rsidRPr="00D93C78">
        <w:t xml:space="preserve"> gasping</w:t>
      </w:r>
      <w:r w:rsidR="00F40E0B" w:rsidRPr="00D93C78">
        <w:t>, and ataxia</w:t>
      </w:r>
      <w:r w:rsidRPr="00D93C78">
        <w:t xml:space="preserve">. A majority of the surviving animals gained weight by the end of the 14-day observation period. No significant test article-related gross pathological findings were noted in surviving animals. </w:t>
      </w:r>
      <w:r w:rsidR="00F40E0B" w:rsidRPr="00D93C78">
        <w:t xml:space="preserve">Deaths occurred at the top three concentrations. </w:t>
      </w:r>
      <w:r w:rsidR="00772095" w:rsidRPr="00D93C78">
        <w:t>The combined male/female LC</w:t>
      </w:r>
      <w:r w:rsidR="00772095" w:rsidRPr="00D93C78">
        <w:rPr>
          <w:vertAlign w:val="subscript"/>
        </w:rPr>
        <w:t xml:space="preserve">50 </w:t>
      </w:r>
      <w:r w:rsidR="00772095" w:rsidRPr="00D93C78">
        <w:t xml:space="preserve">was </w:t>
      </w:r>
      <w:r w:rsidR="00441172" w:rsidRPr="00D93C78">
        <w:t>10.63 mg/L (nominal)</w:t>
      </w:r>
      <w:r w:rsidR="00772095" w:rsidRPr="00D93C78">
        <w:t>.</w:t>
      </w:r>
      <w:r w:rsidR="00B95895" w:rsidRPr="00D93C78">
        <w:t xml:space="preserve"> </w:t>
      </w:r>
      <w:r w:rsidR="000E7519" w:rsidRPr="00D93C78">
        <w:t xml:space="preserve">  This deviated from OECD TG 403 since it was conducted for only one hour.</w:t>
      </w:r>
    </w:p>
    <w:p w:rsidR="00577609" w:rsidRPr="00D93C78" w:rsidRDefault="00B95895" w:rsidP="00D93C78">
      <w:pPr>
        <w:jc w:val="both"/>
      </w:pPr>
      <w:r w:rsidRPr="00D93C78">
        <w:t xml:space="preserve">(2) </w:t>
      </w:r>
      <w:r w:rsidR="00A60930" w:rsidRPr="00D93C78">
        <w:t>G</w:t>
      </w:r>
      <w:r w:rsidRPr="00D93C78">
        <w:t>roups of 5 Sprague-</w:t>
      </w:r>
      <w:r w:rsidR="00B75313" w:rsidRPr="00D93C78">
        <w:t>Dawley</w:t>
      </w:r>
      <w:r w:rsidRPr="00D93C78">
        <w:t xml:space="preserve"> rats/sex were exposed for one hour by whole body inhalation to </w:t>
      </w:r>
      <w:r w:rsidRPr="00D93C78">
        <w:rPr>
          <w:lang w:val="en-GB"/>
        </w:rPr>
        <w:t>nominal concentrations (% relative humidity) of 2389 (60%), 2019 (58%), 1691 (48%), 1258 (75%), and 1147 (7%) ppm</w:t>
      </w:r>
      <w:r w:rsidR="000147CF" w:rsidRPr="00D93C78">
        <w:rPr>
          <w:lang w:val="en-GB"/>
        </w:rPr>
        <w:t xml:space="preserve"> (15.77, 13.33, 11.16, 8.30, and 7.57 mg/L). The </w:t>
      </w:r>
      <w:r w:rsidRPr="00D93C78">
        <w:rPr>
          <w:lang w:val="en-GB"/>
        </w:rPr>
        <w:t xml:space="preserve">corresponding mean analytical concentrations were 837, 544, 568, 165, and 621 ppm, respectively </w:t>
      </w:r>
      <w:r w:rsidRPr="00D93C78">
        <w:t>(</w:t>
      </w:r>
      <w:r w:rsidR="000147CF" w:rsidRPr="00D93C78">
        <w:t xml:space="preserve">5.52, 3.59, 3.75, 1.09, and 4.10 mg/L; </w:t>
      </w:r>
      <w:r w:rsidRPr="00D93C78">
        <w:t>Nachreiner and Dodd, 1988)</w:t>
      </w:r>
      <w:r w:rsidRPr="00D93C78">
        <w:rPr>
          <w:lang w:val="en-GB"/>
        </w:rPr>
        <w:t>.  The mean analytical concentrations of hydrogen chloride gas, a product of the reaction of the test substance with water vapor, were 3225, 2125, 2425, 1425, and 2000 ppm, respectively</w:t>
      </w:r>
      <w:r w:rsidR="000147CF" w:rsidRPr="00D93C78">
        <w:rPr>
          <w:lang w:val="en-GB"/>
        </w:rPr>
        <w:t xml:space="preserve"> (4.81, 3.17, 3.61, 2.12, and 2.98 mg/L)</w:t>
      </w:r>
      <w:r w:rsidRPr="00D93C78">
        <w:rPr>
          <w:lang w:val="en-GB"/>
        </w:rPr>
        <w:t xml:space="preserve">. </w:t>
      </w:r>
      <w:r w:rsidR="00A60930" w:rsidRPr="00D93C78">
        <w:rPr>
          <w:lang w:val="en-GB"/>
        </w:rPr>
        <w:t xml:space="preserve">Rats were observed for clinical signs for 14 or 21 days.  </w:t>
      </w:r>
      <w:r w:rsidRPr="00D93C78">
        <w:rPr>
          <w:lang w:val="en-GB"/>
        </w:rPr>
        <w:t xml:space="preserve">Clinical signs included ocular and respiratory irritation, ataxia, and central nervous system depression. Body weight gains were observed for all animals during the second week post-exposure. Eye abnormalities were observed in all exposure groups at sacrifice. Ophthalmic examination of the affected eyes indicated permanent visual impairment in most animals. </w:t>
      </w:r>
      <w:r w:rsidR="00B538F7" w:rsidRPr="00D93C78">
        <w:rPr>
          <w:lang w:val="en-GB"/>
        </w:rPr>
        <w:t xml:space="preserve">Deaths were seen at the highest three concentrations. </w:t>
      </w:r>
      <w:r w:rsidRPr="00D93C78">
        <w:t>The combined male/female LC</w:t>
      </w:r>
      <w:r w:rsidRPr="00D93C78">
        <w:rPr>
          <w:vertAlign w:val="subscript"/>
        </w:rPr>
        <w:t xml:space="preserve">50 </w:t>
      </w:r>
      <w:r w:rsidRPr="00D93C78">
        <w:t xml:space="preserve">was </w:t>
      </w:r>
      <w:r w:rsidR="00D669A1" w:rsidRPr="00D93C78">
        <w:t xml:space="preserve">13.13 </w:t>
      </w:r>
      <w:r w:rsidRPr="00D93C78">
        <w:t>mg/L</w:t>
      </w:r>
      <w:r w:rsidR="00A60930" w:rsidRPr="00D93C78">
        <w:t xml:space="preserve"> (</w:t>
      </w:r>
      <w:r w:rsidRPr="00D93C78">
        <w:t>nominal</w:t>
      </w:r>
      <w:r w:rsidR="00A60930" w:rsidRPr="00D93C78">
        <w:t>)</w:t>
      </w:r>
      <w:r w:rsidRPr="00D93C78">
        <w:t>.</w:t>
      </w:r>
      <w:r w:rsidR="00E343BB" w:rsidRPr="00D93C78">
        <w:t xml:space="preserve"> </w:t>
      </w:r>
      <w:r w:rsidR="00A60930" w:rsidRPr="00D93C78">
        <w:t xml:space="preserve"> This deviated from OECD TG 403 since it was conducted for only one hour.</w:t>
      </w:r>
    </w:p>
    <w:p w:rsidR="002D074D" w:rsidRPr="00D93C78" w:rsidRDefault="00E343BB" w:rsidP="00D93C78">
      <w:pPr>
        <w:jc w:val="both"/>
        <w:rPr>
          <w:lang w:val="en-GB"/>
        </w:rPr>
      </w:pPr>
      <w:r w:rsidRPr="00D93C78">
        <w:t xml:space="preserve">(3) Groups of rats (5/group; sex and strain not specified) were exposed to the test substance at 18, 52 and 110 ppm </w:t>
      </w:r>
      <w:r w:rsidR="00D669A1" w:rsidRPr="00D93C78">
        <w:t xml:space="preserve">(0.12, 0.34, and 0.73 mg/L) </w:t>
      </w:r>
      <w:r w:rsidRPr="00D93C78">
        <w:t xml:space="preserve">for 4 hours (Dow Corning Corporation, 1973).  A specific method was not reported. Slight lung congestion with focal hemorrhage throughout lobes was observed in one animal in the </w:t>
      </w:r>
      <w:r w:rsidR="00D669A1" w:rsidRPr="00D93C78">
        <w:t>0.12 mg/L</w:t>
      </w:r>
      <w:r w:rsidRPr="00D93C78">
        <w:t xml:space="preserve"> exposure group at necropsy. Severe lung hemorrhage and congestion was also observed at necropsy in one animal in the </w:t>
      </w:r>
      <w:r w:rsidR="00D669A1" w:rsidRPr="00D93C78">
        <w:t>0.34 mg/L</w:t>
      </w:r>
      <w:r w:rsidRPr="00D93C78">
        <w:t xml:space="preserve"> exposure group. Finally, one animal in the </w:t>
      </w:r>
      <w:r w:rsidR="00D669A1" w:rsidRPr="00D93C78">
        <w:t>0.73 mg/L</w:t>
      </w:r>
      <w:r w:rsidRPr="00D93C78">
        <w:t xml:space="preserve"> exposure group had very severe lung hemorrhage and congestion at necropsy. </w:t>
      </w:r>
      <w:r w:rsidR="00F40E0B" w:rsidRPr="00D93C78">
        <w:t xml:space="preserve"> One death occurred at 52 ppm (0.34 mg/L) and five at 110 pm (0.73 mg/L).  </w:t>
      </w:r>
      <w:r w:rsidRPr="00D93C78">
        <w:t>An LC</w:t>
      </w:r>
      <w:r w:rsidRPr="00D93C78">
        <w:rPr>
          <w:vertAlign w:val="subscript"/>
        </w:rPr>
        <w:t>50</w:t>
      </w:r>
      <w:r w:rsidRPr="00D93C78">
        <w:t xml:space="preserve"> was not reported</w:t>
      </w:r>
      <w:r w:rsidR="000E7519" w:rsidRPr="00D93C78">
        <w:t xml:space="preserve"> but is less than 0.73 mg/L based on the data</w:t>
      </w:r>
      <w:r w:rsidRPr="00D93C78">
        <w:t>.</w:t>
      </w:r>
    </w:p>
    <w:p w:rsidR="00772095" w:rsidRPr="00D93C78" w:rsidRDefault="00772095" w:rsidP="00D93C78">
      <w:pPr>
        <w:jc w:val="both"/>
        <w:rPr>
          <w:b/>
        </w:rPr>
      </w:pPr>
    </w:p>
    <w:p w:rsidR="00DA79C4" w:rsidRPr="00D93C78" w:rsidRDefault="000A1E84" w:rsidP="00D93C78">
      <w:pPr>
        <w:pStyle w:val="BodyText"/>
        <w:rPr>
          <w:b/>
          <w:szCs w:val="24"/>
        </w:rPr>
      </w:pPr>
      <w:r w:rsidRPr="00D93C78">
        <w:rPr>
          <w:b/>
          <w:i/>
          <w:szCs w:val="24"/>
        </w:rPr>
        <w:t>Hydrolysis product</w:t>
      </w:r>
      <w:r w:rsidR="00DA79C4" w:rsidRPr="00D93C78">
        <w:rPr>
          <w:b/>
          <w:szCs w:val="24"/>
        </w:rPr>
        <w:t xml:space="preserve"> </w:t>
      </w:r>
    </w:p>
    <w:p w:rsidR="00DA79C4" w:rsidRPr="00D93C78" w:rsidRDefault="00DA79C4" w:rsidP="00D93C78">
      <w:pPr>
        <w:pStyle w:val="BodyText"/>
        <w:rPr>
          <w:szCs w:val="24"/>
        </w:rPr>
      </w:pPr>
      <w:r w:rsidRPr="00D93C78">
        <w:rPr>
          <w:b/>
          <w:szCs w:val="24"/>
        </w:rPr>
        <w:t>HCl:</w:t>
      </w:r>
      <w:r w:rsidRPr="00D93C78">
        <w:rPr>
          <w:szCs w:val="24"/>
        </w:rPr>
        <w:t xml:space="preserve"> Inhalation LC</w:t>
      </w:r>
      <w:r w:rsidRPr="00D93C78">
        <w:rPr>
          <w:szCs w:val="24"/>
          <w:vertAlign w:val="subscript"/>
        </w:rPr>
        <w:t>50</w:t>
      </w:r>
      <w:r w:rsidRPr="00D93C78">
        <w:rPr>
          <w:szCs w:val="24"/>
        </w:rPr>
        <w:t xml:space="preserve"> values were determined to be 23.7-60.9 mg/L/5 min, 5.7-7.0 mg/L/30 min and 4.2-4.7 mg/L/60 min for rats, 20.9 mg/L/5min, 3.9 mg/L/30min and 1.7 mg/L/30min for mice, depending on exposure period.</w:t>
      </w:r>
    </w:p>
    <w:p w:rsidR="00C1433D" w:rsidRPr="00D93C78" w:rsidRDefault="00740E9A" w:rsidP="00D67A69">
      <w:pPr>
        <w:pStyle w:val="Caption"/>
        <w:keepLines/>
        <w:ind w:hanging="839"/>
        <w:jc w:val="both"/>
        <w:rPr>
          <w:rFonts w:ascii="Times New Roman" w:hAnsi="Times New Roman"/>
          <w:szCs w:val="24"/>
        </w:rPr>
      </w:pPr>
      <w:bookmarkStart w:id="114" w:name="_Toc310335208"/>
      <w:bookmarkStart w:id="115" w:name="_Toc216669993"/>
      <w:r>
        <w:rPr>
          <w:rFonts w:ascii="Times New Roman" w:hAnsi="Times New Roman"/>
          <w:szCs w:val="24"/>
        </w:rPr>
        <w:t xml:space="preserve"> </w:t>
      </w:r>
      <w:r w:rsidR="00C1433D" w:rsidRPr="00D93C78">
        <w:rPr>
          <w:rFonts w:ascii="Times New Roman" w:hAnsi="Times New Roman"/>
          <w:szCs w:val="24"/>
        </w:rPr>
        <w:t xml:space="preserve">Table </w:t>
      </w:r>
      <w:r w:rsidR="000509BC" w:rsidRPr="00D93C78">
        <w:rPr>
          <w:rFonts w:ascii="Times New Roman" w:hAnsi="Times New Roman"/>
          <w:szCs w:val="24"/>
        </w:rPr>
        <w:t>9</w:t>
      </w:r>
      <w:r w:rsidR="00C1433D" w:rsidRPr="00D93C78">
        <w:rPr>
          <w:rFonts w:ascii="Times New Roman" w:hAnsi="Times New Roman"/>
          <w:szCs w:val="24"/>
        </w:rPr>
        <w:t xml:space="preserve">  Summary of Acute </w:t>
      </w:r>
      <w:r w:rsidR="004A2C02" w:rsidRPr="00D93C78">
        <w:rPr>
          <w:rFonts w:ascii="Times New Roman" w:hAnsi="Times New Roman"/>
          <w:szCs w:val="24"/>
        </w:rPr>
        <w:t xml:space="preserve">Inhalation </w:t>
      </w:r>
      <w:r w:rsidR="00C1433D" w:rsidRPr="00D93C78">
        <w:rPr>
          <w:rFonts w:ascii="Times New Roman" w:hAnsi="Times New Roman"/>
          <w:szCs w:val="24"/>
        </w:rPr>
        <w:t>Toxicity Studies</w:t>
      </w:r>
      <w:bookmarkEnd w:id="114"/>
      <w:r w:rsidR="00C1433D" w:rsidRPr="00D93C78">
        <w:rPr>
          <w:rFonts w:ascii="Times New Roman" w:hAnsi="Times New Roman"/>
          <w:szCs w:val="24"/>
        </w:rPr>
        <w:t xml:space="preserve"> </w:t>
      </w:r>
      <w:bookmarkEnd w:id="115"/>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147"/>
        <w:gridCol w:w="1303"/>
        <w:gridCol w:w="1131"/>
        <w:gridCol w:w="1303"/>
        <w:gridCol w:w="1820"/>
        <w:gridCol w:w="2855"/>
      </w:tblGrid>
      <w:tr w:rsidR="00C1433D" w:rsidRPr="00D93C78" w:rsidTr="00F1532E">
        <w:tc>
          <w:tcPr>
            <w:tcW w:w="1188" w:type="dxa"/>
            <w:tcBorders>
              <w:top w:val="single" w:sz="12" w:space="0" w:color="auto"/>
              <w:bottom w:val="single" w:sz="12" w:space="0" w:color="auto"/>
            </w:tcBorders>
          </w:tcPr>
          <w:p w:rsidR="00C1433D" w:rsidRPr="00D67A69" w:rsidRDefault="00C1433D" w:rsidP="00D67A69">
            <w:pPr>
              <w:pStyle w:val="BodyText"/>
              <w:keepNext/>
              <w:keepLines/>
              <w:spacing w:after="0"/>
              <w:jc w:val="center"/>
              <w:rPr>
                <w:b/>
                <w:sz w:val="20"/>
                <w:lang w:val="en-US"/>
              </w:rPr>
            </w:pPr>
            <w:r w:rsidRPr="00D67A69">
              <w:rPr>
                <w:b/>
                <w:sz w:val="20"/>
                <w:lang w:val="en-US"/>
              </w:rPr>
              <w:t>Species</w:t>
            </w:r>
          </w:p>
        </w:tc>
        <w:tc>
          <w:tcPr>
            <w:tcW w:w="1350" w:type="dxa"/>
            <w:tcBorders>
              <w:top w:val="single" w:sz="12" w:space="0" w:color="auto"/>
              <w:bottom w:val="single" w:sz="12" w:space="0" w:color="auto"/>
            </w:tcBorders>
          </w:tcPr>
          <w:p w:rsidR="00C1433D" w:rsidRPr="00D67A69" w:rsidRDefault="00C1433D" w:rsidP="00D67A69">
            <w:pPr>
              <w:pStyle w:val="BodyText"/>
              <w:keepNext/>
              <w:keepLines/>
              <w:spacing w:after="0"/>
              <w:jc w:val="center"/>
              <w:rPr>
                <w:b/>
                <w:sz w:val="20"/>
                <w:vertAlign w:val="superscript"/>
                <w:lang w:val="en-US"/>
              </w:rPr>
            </w:pPr>
            <w:r w:rsidRPr="00D67A69">
              <w:rPr>
                <w:b/>
                <w:sz w:val="20"/>
                <w:lang w:val="en-US"/>
              </w:rPr>
              <w:t>Sex</w:t>
            </w:r>
          </w:p>
        </w:tc>
        <w:tc>
          <w:tcPr>
            <w:tcW w:w="1170" w:type="dxa"/>
            <w:tcBorders>
              <w:top w:val="single" w:sz="12" w:space="0" w:color="auto"/>
              <w:bottom w:val="single" w:sz="12" w:space="0" w:color="auto"/>
            </w:tcBorders>
          </w:tcPr>
          <w:p w:rsidR="00C1433D" w:rsidRPr="00D67A69" w:rsidRDefault="00C1433D" w:rsidP="00D67A69">
            <w:pPr>
              <w:pStyle w:val="BodyText"/>
              <w:keepNext/>
              <w:keepLines/>
              <w:spacing w:after="0"/>
              <w:jc w:val="center"/>
              <w:rPr>
                <w:b/>
                <w:sz w:val="20"/>
                <w:lang w:val="en-US"/>
              </w:rPr>
            </w:pPr>
            <w:r w:rsidRPr="00D67A69">
              <w:rPr>
                <w:b/>
                <w:sz w:val="20"/>
                <w:lang w:val="en-US"/>
              </w:rPr>
              <w:t>Exposure duration</w:t>
            </w:r>
          </w:p>
        </w:tc>
        <w:tc>
          <w:tcPr>
            <w:tcW w:w="1350" w:type="dxa"/>
            <w:tcBorders>
              <w:top w:val="single" w:sz="12" w:space="0" w:color="auto"/>
              <w:bottom w:val="single" w:sz="12" w:space="0" w:color="auto"/>
            </w:tcBorders>
          </w:tcPr>
          <w:p w:rsidR="00C1433D" w:rsidRPr="00D67A69" w:rsidRDefault="00C1433D" w:rsidP="00D67A69">
            <w:pPr>
              <w:pStyle w:val="BodyText"/>
              <w:keepNext/>
              <w:keepLines/>
              <w:spacing w:after="0"/>
              <w:jc w:val="center"/>
              <w:rPr>
                <w:b/>
                <w:sz w:val="20"/>
                <w:lang w:val="en-US"/>
              </w:rPr>
            </w:pPr>
            <w:r w:rsidRPr="00D67A69">
              <w:rPr>
                <w:b/>
                <w:sz w:val="20"/>
                <w:lang w:val="en-US"/>
              </w:rPr>
              <w:t>Comments</w:t>
            </w:r>
          </w:p>
        </w:tc>
        <w:tc>
          <w:tcPr>
            <w:tcW w:w="1890" w:type="dxa"/>
            <w:tcBorders>
              <w:top w:val="single" w:sz="12" w:space="0" w:color="auto"/>
              <w:bottom w:val="single" w:sz="12" w:space="0" w:color="auto"/>
            </w:tcBorders>
          </w:tcPr>
          <w:p w:rsidR="00C1433D" w:rsidRPr="00D67A69" w:rsidRDefault="00C1433D" w:rsidP="00D67A69">
            <w:pPr>
              <w:pStyle w:val="BodyText"/>
              <w:keepNext/>
              <w:keepLines/>
              <w:spacing w:after="0"/>
              <w:jc w:val="center"/>
              <w:rPr>
                <w:b/>
                <w:sz w:val="20"/>
                <w:vertAlign w:val="superscript"/>
                <w:lang w:val="en-US"/>
              </w:rPr>
            </w:pPr>
            <w:r w:rsidRPr="00D67A69">
              <w:rPr>
                <w:b/>
                <w:sz w:val="20"/>
                <w:lang w:val="en-US"/>
              </w:rPr>
              <w:t>LC</w:t>
            </w:r>
            <w:r w:rsidRPr="00D67A69">
              <w:rPr>
                <w:b/>
                <w:sz w:val="20"/>
                <w:vertAlign w:val="subscript"/>
                <w:lang w:val="en-US"/>
              </w:rPr>
              <w:t>50</w:t>
            </w:r>
          </w:p>
        </w:tc>
        <w:tc>
          <w:tcPr>
            <w:tcW w:w="2970" w:type="dxa"/>
            <w:tcBorders>
              <w:top w:val="single" w:sz="12" w:space="0" w:color="auto"/>
              <w:bottom w:val="single" w:sz="12" w:space="0" w:color="auto"/>
            </w:tcBorders>
          </w:tcPr>
          <w:p w:rsidR="00C1433D" w:rsidRPr="00D67A69" w:rsidRDefault="00C1433D" w:rsidP="00D67A69">
            <w:pPr>
              <w:pStyle w:val="BodyText"/>
              <w:keepNext/>
              <w:keepLines/>
              <w:spacing w:after="0"/>
              <w:jc w:val="center"/>
              <w:rPr>
                <w:b/>
                <w:sz w:val="20"/>
                <w:lang w:val="en-US"/>
              </w:rPr>
            </w:pPr>
            <w:r w:rsidRPr="00D67A69">
              <w:rPr>
                <w:b/>
                <w:sz w:val="20"/>
                <w:lang w:val="en-US"/>
              </w:rPr>
              <w:t>Reference</w:t>
            </w:r>
          </w:p>
        </w:tc>
      </w:tr>
      <w:tr w:rsidR="007877D7" w:rsidRPr="00D93C78" w:rsidTr="00F1532E">
        <w:tc>
          <w:tcPr>
            <w:tcW w:w="9918" w:type="dxa"/>
            <w:gridSpan w:val="6"/>
            <w:tcBorders>
              <w:top w:val="single" w:sz="12" w:space="0" w:color="auto"/>
              <w:bottom w:val="single" w:sz="6" w:space="0" w:color="auto"/>
            </w:tcBorders>
          </w:tcPr>
          <w:p w:rsidR="007877D7" w:rsidRPr="00D67A69" w:rsidRDefault="007877D7" w:rsidP="00D67A69">
            <w:pPr>
              <w:pStyle w:val="BodyText"/>
              <w:keepNext/>
              <w:keepLines/>
              <w:spacing w:after="0"/>
              <w:jc w:val="center"/>
              <w:rPr>
                <w:b/>
                <w:sz w:val="20"/>
                <w:lang w:val="en-US"/>
              </w:rPr>
            </w:pPr>
            <w:r w:rsidRPr="00D67A69">
              <w:rPr>
                <w:b/>
                <w:sz w:val="20"/>
                <w:lang w:val="en-US"/>
              </w:rPr>
              <w:t>Sponsored substance</w:t>
            </w:r>
            <w:r w:rsidR="00C720E8" w:rsidRPr="00D67A69">
              <w:rPr>
                <w:b/>
                <w:sz w:val="20"/>
                <w:lang w:val="en-US"/>
              </w:rPr>
              <w:t>s</w:t>
            </w:r>
          </w:p>
        </w:tc>
      </w:tr>
      <w:tr w:rsidR="00C50B9B" w:rsidRPr="00D93C78" w:rsidTr="00F1532E">
        <w:tc>
          <w:tcPr>
            <w:tcW w:w="9918" w:type="dxa"/>
            <w:gridSpan w:val="6"/>
            <w:tcBorders>
              <w:top w:val="single" w:sz="6" w:space="0" w:color="auto"/>
            </w:tcBorders>
          </w:tcPr>
          <w:p w:rsidR="00C50B9B" w:rsidRPr="00D67A69" w:rsidRDefault="00B75313" w:rsidP="00D67A69">
            <w:pPr>
              <w:pStyle w:val="BodyText"/>
              <w:keepNext/>
              <w:keepLines/>
              <w:spacing w:after="0"/>
              <w:jc w:val="center"/>
              <w:rPr>
                <w:b/>
                <w:sz w:val="20"/>
                <w:lang w:val="en-US"/>
              </w:rPr>
            </w:pPr>
            <w:r w:rsidRPr="00D67A69">
              <w:rPr>
                <w:b/>
                <w:sz w:val="20"/>
                <w:lang w:val="en-US"/>
              </w:rPr>
              <w:t>VDCS</w:t>
            </w:r>
          </w:p>
        </w:tc>
      </w:tr>
      <w:tr w:rsidR="00772095" w:rsidRPr="00D93C78" w:rsidTr="00D67A69">
        <w:tc>
          <w:tcPr>
            <w:tcW w:w="1188" w:type="dxa"/>
          </w:tcPr>
          <w:p w:rsidR="00772095" w:rsidRPr="00D67A69" w:rsidRDefault="00772095" w:rsidP="00D67A69">
            <w:pPr>
              <w:pStyle w:val="BodyText"/>
              <w:keepNext/>
              <w:keepLines/>
              <w:spacing w:after="0"/>
              <w:jc w:val="center"/>
              <w:rPr>
                <w:sz w:val="20"/>
                <w:lang w:val="en-US"/>
              </w:rPr>
            </w:pPr>
            <w:r w:rsidRPr="00D67A69">
              <w:rPr>
                <w:sz w:val="20"/>
                <w:lang w:val="en-US"/>
              </w:rPr>
              <w:t>Rat</w:t>
            </w:r>
          </w:p>
        </w:tc>
        <w:tc>
          <w:tcPr>
            <w:tcW w:w="1350" w:type="dxa"/>
          </w:tcPr>
          <w:p w:rsidR="00772095" w:rsidRPr="00D67A69" w:rsidRDefault="00772095" w:rsidP="00D67A69">
            <w:pPr>
              <w:pStyle w:val="BodyText"/>
              <w:keepNext/>
              <w:keepLines/>
              <w:spacing w:after="0"/>
              <w:jc w:val="center"/>
              <w:rPr>
                <w:sz w:val="20"/>
                <w:lang w:val="en-US"/>
              </w:rPr>
            </w:pPr>
            <w:r w:rsidRPr="00D67A69">
              <w:rPr>
                <w:sz w:val="20"/>
                <w:lang w:val="en-US"/>
              </w:rPr>
              <w:t>Male/female</w:t>
            </w:r>
          </w:p>
        </w:tc>
        <w:tc>
          <w:tcPr>
            <w:tcW w:w="1170" w:type="dxa"/>
          </w:tcPr>
          <w:p w:rsidR="00772095" w:rsidRPr="00D67A69" w:rsidRDefault="00772095" w:rsidP="00D67A69">
            <w:pPr>
              <w:pStyle w:val="BodyText"/>
              <w:keepNext/>
              <w:keepLines/>
              <w:spacing w:after="0"/>
              <w:jc w:val="center"/>
              <w:rPr>
                <w:sz w:val="20"/>
                <w:lang w:val="en-US"/>
              </w:rPr>
            </w:pPr>
            <w:r w:rsidRPr="00D67A69">
              <w:rPr>
                <w:sz w:val="20"/>
                <w:lang w:val="en-US"/>
              </w:rPr>
              <w:t>1 hr</w:t>
            </w:r>
          </w:p>
        </w:tc>
        <w:tc>
          <w:tcPr>
            <w:tcW w:w="1350" w:type="dxa"/>
          </w:tcPr>
          <w:p w:rsidR="00772095" w:rsidRPr="00D67A69" w:rsidRDefault="00772095" w:rsidP="00D67A69">
            <w:pPr>
              <w:pStyle w:val="BodyText"/>
              <w:keepNext/>
              <w:keepLines/>
              <w:spacing w:after="0"/>
              <w:jc w:val="center"/>
              <w:rPr>
                <w:sz w:val="20"/>
                <w:lang w:val="en-US"/>
              </w:rPr>
            </w:pPr>
            <w:r w:rsidRPr="00D67A69">
              <w:rPr>
                <w:sz w:val="20"/>
                <w:lang w:val="en-US"/>
              </w:rPr>
              <w:t>Whole body</w:t>
            </w:r>
          </w:p>
        </w:tc>
        <w:tc>
          <w:tcPr>
            <w:tcW w:w="1890" w:type="dxa"/>
          </w:tcPr>
          <w:p w:rsidR="00772095" w:rsidRPr="00D67A69" w:rsidRDefault="00B75313" w:rsidP="00D67A69">
            <w:pPr>
              <w:pStyle w:val="BodyText"/>
              <w:keepNext/>
              <w:keepLines/>
              <w:spacing w:after="0"/>
              <w:jc w:val="center"/>
              <w:rPr>
                <w:sz w:val="20"/>
                <w:lang w:val="en-US"/>
              </w:rPr>
            </w:pPr>
            <w:r w:rsidRPr="00D67A69">
              <w:rPr>
                <w:sz w:val="20"/>
                <w:lang w:val="en-US"/>
              </w:rPr>
              <w:t xml:space="preserve">&gt; </w:t>
            </w:r>
            <w:r w:rsidR="00D669A1" w:rsidRPr="00D67A69">
              <w:rPr>
                <w:sz w:val="20"/>
                <w:lang w:val="en-US"/>
              </w:rPr>
              <w:t xml:space="preserve">8.61 </w:t>
            </w:r>
            <w:r w:rsidRPr="00D67A69">
              <w:rPr>
                <w:sz w:val="20"/>
                <w:lang w:val="en-US"/>
              </w:rPr>
              <w:t xml:space="preserve">- &lt;= </w:t>
            </w:r>
            <w:r w:rsidR="00D669A1" w:rsidRPr="00D67A69">
              <w:rPr>
                <w:sz w:val="20"/>
                <w:lang w:val="en-US"/>
              </w:rPr>
              <w:t>9.61 mg/L</w:t>
            </w:r>
            <w:r w:rsidRPr="00D67A69">
              <w:rPr>
                <w:sz w:val="20"/>
                <w:lang w:val="en-US"/>
              </w:rPr>
              <w:t xml:space="preserve"> (nominal)</w:t>
            </w:r>
          </w:p>
        </w:tc>
        <w:tc>
          <w:tcPr>
            <w:tcW w:w="2970" w:type="dxa"/>
          </w:tcPr>
          <w:p w:rsidR="00772095" w:rsidRPr="00D67A69" w:rsidRDefault="00772095" w:rsidP="00D67A69">
            <w:pPr>
              <w:pStyle w:val="BodyText"/>
              <w:keepNext/>
              <w:keepLines/>
              <w:spacing w:after="0"/>
              <w:jc w:val="center"/>
              <w:rPr>
                <w:sz w:val="20"/>
                <w:lang w:val="en-US"/>
              </w:rPr>
            </w:pPr>
            <w:r w:rsidRPr="00D67A69">
              <w:rPr>
                <w:sz w:val="20"/>
                <w:lang w:val="en-US"/>
              </w:rPr>
              <w:t>Dow Corning Corporation, 200</w:t>
            </w:r>
            <w:r w:rsidR="00B75313" w:rsidRPr="00D67A69">
              <w:rPr>
                <w:sz w:val="20"/>
                <w:lang w:val="en-US"/>
              </w:rPr>
              <w:t>2</w:t>
            </w:r>
          </w:p>
        </w:tc>
      </w:tr>
      <w:tr w:rsidR="00772095" w:rsidRPr="00D93C78" w:rsidTr="00D67A69">
        <w:tc>
          <w:tcPr>
            <w:tcW w:w="9918" w:type="dxa"/>
            <w:gridSpan w:val="6"/>
          </w:tcPr>
          <w:p w:rsidR="00772095" w:rsidRPr="00D67A69" w:rsidRDefault="00B75313" w:rsidP="00D67A69">
            <w:pPr>
              <w:pStyle w:val="BodyText"/>
              <w:keepNext/>
              <w:keepLines/>
              <w:spacing w:after="0"/>
              <w:jc w:val="center"/>
              <w:rPr>
                <w:sz w:val="20"/>
                <w:lang w:val="en-US"/>
              </w:rPr>
            </w:pPr>
            <w:r w:rsidRPr="00D67A69">
              <w:rPr>
                <w:b/>
                <w:sz w:val="20"/>
                <w:lang w:val="en-US"/>
              </w:rPr>
              <w:t>VTCS</w:t>
            </w:r>
          </w:p>
        </w:tc>
      </w:tr>
      <w:tr w:rsidR="00772095" w:rsidRPr="00D93C78" w:rsidTr="00D67A69">
        <w:tc>
          <w:tcPr>
            <w:tcW w:w="1188" w:type="dxa"/>
          </w:tcPr>
          <w:p w:rsidR="00772095" w:rsidRPr="00D67A69" w:rsidRDefault="00772095" w:rsidP="00D67A69">
            <w:pPr>
              <w:pStyle w:val="BodyText"/>
              <w:keepNext/>
              <w:keepLines/>
              <w:spacing w:after="0"/>
              <w:jc w:val="center"/>
              <w:rPr>
                <w:sz w:val="20"/>
                <w:lang w:val="en-US"/>
              </w:rPr>
            </w:pPr>
            <w:r w:rsidRPr="00D67A69">
              <w:rPr>
                <w:sz w:val="20"/>
                <w:lang w:val="en-US"/>
              </w:rPr>
              <w:t>Rat</w:t>
            </w:r>
          </w:p>
        </w:tc>
        <w:tc>
          <w:tcPr>
            <w:tcW w:w="1350" w:type="dxa"/>
          </w:tcPr>
          <w:p w:rsidR="00772095" w:rsidRPr="00D67A69" w:rsidRDefault="00772095" w:rsidP="00D67A69">
            <w:pPr>
              <w:pStyle w:val="BodyText"/>
              <w:keepNext/>
              <w:keepLines/>
              <w:spacing w:after="0"/>
              <w:jc w:val="center"/>
              <w:rPr>
                <w:sz w:val="20"/>
                <w:lang w:val="en-US"/>
              </w:rPr>
            </w:pPr>
            <w:r w:rsidRPr="00D67A69">
              <w:rPr>
                <w:sz w:val="20"/>
                <w:lang w:val="en-US"/>
              </w:rPr>
              <w:t>Male/female</w:t>
            </w:r>
          </w:p>
        </w:tc>
        <w:tc>
          <w:tcPr>
            <w:tcW w:w="1170" w:type="dxa"/>
          </w:tcPr>
          <w:p w:rsidR="00772095" w:rsidRPr="00D67A69" w:rsidRDefault="00772095" w:rsidP="00D67A69">
            <w:pPr>
              <w:pStyle w:val="BodyText"/>
              <w:keepNext/>
              <w:keepLines/>
              <w:spacing w:after="0"/>
              <w:jc w:val="center"/>
              <w:rPr>
                <w:sz w:val="20"/>
                <w:lang w:val="en-US"/>
              </w:rPr>
            </w:pPr>
            <w:r w:rsidRPr="00D67A69">
              <w:rPr>
                <w:sz w:val="20"/>
                <w:lang w:val="en-US"/>
              </w:rPr>
              <w:t>1 hr</w:t>
            </w:r>
          </w:p>
        </w:tc>
        <w:tc>
          <w:tcPr>
            <w:tcW w:w="1350" w:type="dxa"/>
          </w:tcPr>
          <w:p w:rsidR="00772095" w:rsidRPr="00D67A69" w:rsidRDefault="00772095" w:rsidP="00D67A69">
            <w:pPr>
              <w:pStyle w:val="BodyText"/>
              <w:keepNext/>
              <w:keepLines/>
              <w:spacing w:after="0"/>
              <w:jc w:val="center"/>
              <w:rPr>
                <w:sz w:val="20"/>
                <w:lang w:val="en-US"/>
              </w:rPr>
            </w:pPr>
            <w:r w:rsidRPr="00D67A69">
              <w:rPr>
                <w:sz w:val="20"/>
                <w:lang w:val="en-US"/>
              </w:rPr>
              <w:t>Whole body</w:t>
            </w:r>
          </w:p>
        </w:tc>
        <w:tc>
          <w:tcPr>
            <w:tcW w:w="1890" w:type="dxa"/>
          </w:tcPr>
          <w:p w:rsidR="00772095" w:rsidRPr="00D67A69" w:rsidRDefault="00D669A1" w:rsidP="00D67A69">
            <w:pPr>
              <w:pStyle w:val="BodyText"/>
              <w:keepNext/>
              <w:keepLines/>
              <w:spacing w:after="0"/>
              <w:jc w:val="center"/>
              <w:rPr>
                <w:sz w:val="20"/>
                <w:lang w:val="en-US"/>
              </w:rPr>
            </w:pPr>
            <w:r w:rsidRPr="00D67A69">
              <w:rPr>
                <w:sz w:val="20"/>
                <w:lang w:val="en-US"/>
              </w:rPr>
              <w:t>10.63 mg/L</w:t>
            </w:r>
            <w:r w:rsidR="00772095" w:rsidRPr="00D67A69">
              <w:rPr>
                <w:sz w:val="20"/>
                <w:lang w:val="en-US"/>
              </w:rPr>
              <w:t xml:space="preserve"> (</w:t>
            </w:r>
            <w:r w:rsidR="00B75313" w:rsidRPr="00D67A69">
              <w:rPr>
                <w:sz w:val="20"/>
                <w:lang w:val="en-US"/>
              </w:rPr>
              <w:t>nominal</w:t>
            </w:r>
            <w:r w:rsidR="00772095" w:rsidRPr="00D67A69">
              <w:rPr>
                <w:sz w:val="20"/>
                <w:lang w:val="en-US"/>
              </w:rPr>
              <w:t>)</w:t>
            </w:r>
          </w:p>
        </w:tc>
        <w:tc>
          <w:tcPr>
            <w:tcW w:w="2970" w:type="dxa"/>
          </w:tcPr>
          <w:p w:rsidR="00772095" w:rsidRPr="00D67A69" w:rsidRDefault="00B75313" w:rsidP="00D67A69">
            <w:pPr>
              <w:pStyle w:val="BodyText"/>
              <w:keepNext/>
              <w:keepLines/>
              <w:spacing w:after="0"/>
              <w:jc w:val="center"/>
              <w:rPr>
                <w:sz w:val="20"/>
                <w:lang w:val="en-US"/>
              </w:rPr>
            </w:pPr>
            <w:r w:rsidRPr="00D67A69">
              <w:rPr>
                <w:sz w:val="20"/>
                <w:lang w:val="en-US"/>
              </w:rPr>
              <w:t>Kolesar et al., 1997</w:t>
            </w:r>
          </w:p>
        </w:tc>
      </w:tr>
      <w:tr w:rsidR="00B75313" w:rsidRPr="00D93C78" w:rsidTr="00D67A69">
        <w:tc>
          <w:tcPr>
            <w:tcW w:w="1188" w:type="dxa"/>
          </w:tcPr>
          <w:p w:rsidR="00B75313" w:rsidRPr="00D67A69" w:rsidRDefault="00B75313" w:rsidP="00D67A69">
            <w:pPr>
              <w:pStyle w:val="BodyText"/>
              <w:keepNext/>
              <w:keepLines/>
              <w:spacing w:after="0"/>
              <w:jc w:val="center"/>
              <w:rPr>
                <w:sz w:val="20"/>
                <w:lang w:val="en-US"/>
              </w:rPr>
            </w:pPr>
            <w:r w:rsidRPr="00D67A69">
              <w:rPr>
                <w:sz w:val="20"/>
                <w:lang w:val="en-US"/>
              </w:rPr>
              <w:t>Rat</w:t>
            </w:r>
          </w:p>
        </w:tc>
        <w:tc>
          <w:tcPr>
            <w:tcW w:w="1350" w:type="dxa"/>
          </w:tcPr>
          <w:p w:rsidR="00B75313" w:rsidRPr="00D67A69" w:rsidRDefault="00B75313" w:rsidP="00D67A69">
            <w:pPr>
              <w:pStyle w:val="BodyText"/>
              <w:keepNext/>
              <w:keepLines/>
              <w:spacing w:after="0"/>
              <w:jc w:val="center"/>
              <w:rPr>
                <w:sz w:val="20"/>
                <w:lang w:val="en-US"/>
              </w:rPr>
            </w:pPr>
            <w:r w:rsidRPr="00D67A69">
              <w:rPr>
                <w:sz w:val="20"/>
                <w:lang w:val="en-US"/>
              </w:rPr>
              <w:t>Male/female</w:t>
            </w:r>
          </w:p>
        </w:tc>
        <w:tc>
          <w:tcPr>
            <w:tcW w:w="1170" w:type="dxa"/>
          </w:tcPr>
          <w:p w:rsidR="00B75313" w:rsidRPr="00D67A69" w:rsidRDefault="00B75313" w:rsidP="00D67A69">
            <w:pPr>
              <w:pStyle w:val="BodyText"/>
              <w:keepNext/>
              <w:keepLines/>
              <w:spacing w:after="0"/>
              <w:jc w:val="center"/>
              <w:rPr>
                <w:sz w:val="20"/>
                <w:lang w:val="en-US"/>
              </w:rPr>
            </w:pPr>
            <w:r w:rsidRPr="00D67A69">
              <w:rPr>
                <w:sz w:val="20"/>
                <w:lang w:val="en-US"/>
              </w:rPr>
              <w:t>1 hr</w:t>
            </w:r>
          </w:p>
        </w:tc>
        <w:tc>
          <w:tcPr>
            <w:tcW w:w="1350" w:type="dxa"/>
          </w:tcPr>
          <w:p w:rsidR="00B75313" w:rsidRPr="00D67A69" w:rsidRDefault="00B75313" w:rsidP="00D67A69">
            <w:pPr>
              <w:pStyle w:val="BodyText"/>
              <w:keepNext/>
              <w:keepLines/>
              <w:spacing w:after="0"/>
              <w:jc w:val="center"/>
              <w:rPr>
                <w:sz w:val="20"/>
                <w:lang w:val="en-US"/>
              </w:rPr>
            </w:pPr>
            <w:r w:rsidRPr="00D67A69">
              <w:rPr>
                <w:sz w:val="20"/>
                <w:lang w:val="en-US"/>
              </w:rPr>
              <w:t>Whole body</w:t>
            </w:r>
          </w:p>
        </w:tc>
        <w:tc>
          <w:tcPr>
            <w:tcW w:w="1890" w:type="dxa"/>
          </w:tcPr>
          <w:p w:rsidR="00B75313" w:rsidRPr="00D67A69" w:rsidRDefault="00D669A1" w:rsidP="00D67A69">
            <w:pPr>
              <w:pStyle w:val="BodyText"/>
              <w:keepNext/>
              <w:keepLines/>
              <w:spacing w:after="0"/>
              <w:jc w:val="center"/>
              <w:rPr>
                <w:sz w:val="20"/>
                <w:highlight w:val="yellow"/>
                <w:lang w:val="en-US"/>
              </w:rPr>
            </w:pPr>
            <w:r w:rsidRPr="00D67A69">
              <w:rPr>
                <w:sz w:val="20"/>
                <w:lang w:val="en-US"/>
              </w:rPr>
              <w:t>13.13 mg/L</w:t>
            </w:r>
            <w:r w:rsidR="00B75313" w:rsidRPr="00D67A69">
              <w:rPr>
                <w:sz w:val="20"/>
                <w:lang w:val="en-US"/>
              </w:rPr>
              <w:t xml:space="preserve"> (nominal)</w:t>
            </w:r>
          </w:p>
        </w:tc>
        <w:tc>
          <w:tcPr>
            <w:tcW w:w="2970" w:type="dxa"/>
          </w:tcPr>
          <w:p w:rsidR="00B75313" w:rsidRPr="00D67A69" w:rsidRDefault="00B75313" w:rsidP="00D67A69">
            <w:pPr>
              <w:pStyle w:val="BodyText"/>
              <w:keepNext/>
              <w:keepLines/>
              <w:spacing w:after="0"/>
              <w:jc w:val="center"/>
              <w:rPr>
                <w:sz w:val="20"/>
                <w:lang w:val="en-US"/>
              </w:rPr>
            </w:pPr>
            <w:r w:rsidRPr="00D67A69">
              <w:rPr>
                <w:sz w:val="20"/>
                <w:lang w:val="en-US"/>
              </w:rPr>
              <w:t>Nachreiner and Dodd, 1988</w:t>
            </w:r>
          </w:p>
        </w:tc>
      </w:tr>
      <w:tr w:rsidR="00B75313" w:rsidRPr="00D93C78" w:rsidTr="00F1532E">
        <w:tc>
          <w:tcPr>
            <w:tcW w:w="1188" w:type="dxa"/>
            <w:tcBorders>
              <w:bottom w:val="single" w:sz="6" w:space="0" w:color="auto"/>
            </w:tcBorders>
          </w:tcPr>
          <w:p w:rsidR="00B75313" w:rsidRPr="00D67A69" w:rsidRDefault="00B75313" w:rsidP="00D67A69">
            <w:pPr>
              <w:pStyle w:val="BodyText"/>
              <w:keepNext/>
              <w:keepLines/>
              <w:spacing w:after="0"/>
              <w:jc w:val="center"/>
              <w:rPr>
                <w:sz w:val="20"/>
                <w:lang w:val="en-US"/>
              </w:rPr>
            </w:pPr>
            <w:r w:rsidRPr="00D67A69">
              <w:rPr>
                <w:sz w:val="20"/>
                <w:lang w:val="en-US"/>
              </w:rPr>
              <w:t>Rat</w:t>
            </w:r>
          </w:p>
        </w:tc>
        <w:tc>
          <w:tcPr>
            <w:tcW w:w="1350" w:type="dxa"/>
            <w:tcBorders>
              <w:bottom w:val="single" w:sz="6" w:space="0" w:color="auto"/>
            </w:tcBorders>
          </w:tcPr>
          <w:p w:rsidR="00B75313" w:rsidRPr="00D67A69" w:rsidRDefault="00B75313" w:rsidP="00D67A69">
            <w:pPr>
              <w:pStyle w:val="BodyText"/>
              <w:keepNext/>
              <w:keepLines/>
              <w:spacing w:after="0"/>
              <w:jc w:val="center"/>
              <w:rPr>
                <w:sz w:val="20"/>
                <w:lang w:val="en-US"/>
              </w:rPr>
            </w:pPr>
            <w:r w:rsidRPr="00D67A69">
              <w:rPr>
                <w:sz w:val="20"/>
                <w:lang w:val="en-US"/>
              </w:rPr>
              <w:t>Male/female</w:t>
            </w:r>
          </w:p>
        </w:tc>
        <w:tc>
          <w:tcPr>
            <w:tcW w:w="1170" w:type="dxa"/>
            <w:tcBorders>
              <w:bottom w:val="single" w:sz="6" w:space="0" w:color="auto"/>
            </w:tcBorders>
          </w:tcPr>
          <w:p w:rsidR="00B75313" w:rsidRPr="00D67A69" w:rsidRDefault="00B75313" w:rsidP="00D67A69">
            <w:pPr>
              <w:pStyle w:val="BodyText"/>
              <w:keepNext/>
              <w:keepLines/>
              <w:spacing w:after="0"/>
              <w:jc w:val="center"/>
              <w:rPr>
                <w:sz w:val="20"/>
                <w:lang w:val="en-US"/>
              </w:rPr>
            </w:pPr>
            <w:r w:rsidRPr="00D67A69">
              <w:rPr>
                <w:sz w:val="20"/>
                <w:lang w:val="en-US"/>
              </w:rPr>
              <w:t>4  hr</w:t>
            </w:r>
          </w:p>
        </w:tc>
        <w:tc>
          <w:tcPr>
            <w:tcW w:w="1350" w:type="dxa"/>
            <w:tcBorders>
              <w:bottom w:val="single" w:sz="6" w:space="0" w:color="auto"/>
            </w:tcBorders>
          </w:tcPr>
          <w:p w:rsidR="00B75313" w:rsidRPr="00D67A69" w:rsidRDefault="00B75313" w:rsidP="00D67A69">
            <w:pPr>
              <w:pStyle w:val="BodyText"/>
              <w:keepNext/>
              <w:keepLines/>
              <w:spacing w:after="0"/>
              <w:jc w:val="center"/>
              <w:rPr>
                <w:sz w:val="20"/>
                <w:lang w:val="en-US"/>
              </w:rPr>
            </w:pPr>
            <w:r w:rsidRPr="00D67A69">
              <w:rPr>
                <w:sz w:val="20"/>
                <w:lang w:val="en-US"/>
              </w:rPr>
              <w:t>Whole body</w:t>
            </w:r>
          </w:p>
        </w:tc>
        <w:tc>
          <w:tcPr>
            <w:tcW w:w="1890" w:type="dxa"/>
            <w:tcBorders>
              <w:bottom w:val="single" w:sz="6" w:space="0" w:color="auto"/>
            </w:tcBorders>
          </w:tcPr>
          <w:p w:rsidR="00B75313" w:rsidRPr="00D67A69" w:rsidRDefault="00B75313" w:rsidP="00D67A69">
            <w:pPr>
              <w:pStyle w:val="BodyText"/>
              <w:keepNext/>
              <w:keepLines/>
              <w:spacing w:after="0"/>
              <w:jc w:val="center"/>
              <w:rPr>
                <w:sz w:val="20"/>
                <w:highlight w:val="yellow"/>
                <w:lang w:val="en-US"/>
              </w:rPr>
            </w:pPr>
            <w:r w:rsidRPr="00D67A69">
              <w:rPr>
                <w:sz w:val="20"/>
                <w:lang w:val="en-US"/>
              </w:rPr>
              <w:t>Not reported</w:t>
            </w:r>
          </w:p>
        </w:tc>
        <w:tc>
          <w:tcPr>
            <w:tcW w:w="2970" w:type="dxa"/>
            <w:tcBorders>
              <w:bottom w:val="single" w:sz="6" w:space="0" w:color="auto"/>
            </w:tcBorders>
          </w:tcPr>
          <w:p w:rsidR="00B75313" w:rsidRPr="00D67A69" w:rsidRDefault="00B75313" w:rsidP="00D67A69">
            <w:pPr>
              <w:pStyle w:val="BodyText"/>
              <w:keepNext/>
              <w:keepLines/>
              <w:spacing w:after="0"/>
              <w:jc w:val="center"/>
              <w:rPr>
                <w:sz w:val="20"/>
                <w:lang w:val="en-US"/>
              </w:rPr>
            </w:pPr>
            <w:r w:rsidRPr="00D67A69">
              <w:rPr>
                <w:sz w:val="20"/>
                <w:lang w:val="en-US"/>
              </w:rPr>
              <w:t>Dow Corning Corporation, 1973</w:t>
            </w:r>
          </w:p>
        </w:tc>
      </w:tr>
      <w:tr w:rsidR="00DA79C4" w:rsidRPr="00D93C78" w:rsidTr="00F1532E">
        <w:tc>
          <w:tcPr>
            <w:tcW w:w="9918" w:type="dxa"/>
            <w:gridSpan w:val="6"/>
            <w:tcBorders>
              <w:top w:val="single" w:sz="6" w:space="0" w:color="auto"/>
              <w:bottom w:val="single" w:sz="6" w:space="0" w:color="auto"/>
            </w:tcBorders>
          </w:tcPr>
          <w:p w:rsidR="00DA79C4" w:rsidRPr="00D67A69" w:rsidRDefault="00DA79C4" w:rsidP="00D67A69">
            <w:pPr>
              <w:pStyle w:val="BodyText"/>
              <w:keepNext/>
              <w:keepLines/>
              <w:spacing w:after="0"/>
              <w:jc w:val="center"/>
              <w:rPr>
                <w:b/>
                <w:sz w:val="20"/>
              </w:rPr>
            </w:pPr>
            <w:r w:rsidRPr="00D67A69">
              <w:rPr>
                <w:b/>
                <w:sz w:val="20"/>
                <w:lang w:val="en-US"/>
              </w:rPr>
              <w:t>Hydrolysis product</w:t>
            </w:r>
          </w:p>
        </w:tc>
      </w:tr>
      <w:tr w:rsidR="00DA79C4" w:rsidRPr="00D93C78" w:rsidTr="00F1532E">
        <w:tc>
          <w:tcPr>
            <w:tcW w:w="9918" w:type="dxa"/>
            <w:gridSpan w:val="6"/>
            <w:tcBorders>
              <w:top w:val="single" w:sz="6" w:space="0" w:color="auto"/>
            </w:tcBorders>
          </w:tcPr>
          <w:p w:rsidR="00DA79C4" w:rsidRPr="00D67A69" w:rsidRDefault="00DA79C4" w:rsidP="00D67A69">
            <w:pPr>
              <w:pStyle w:val="BodyText"/>
              <w:keepNext/>
              <w:keepLines/>
              <w:spacing w:after="0"/>
              <w:jc w:val="center"/>
              <w:rPr>
                <w:sz w:val="20"/>
              </w:rPr>
            </w:pPr>
            <w:r w:rsidRPr="00D67A69">
              <w:rPr>
                <w:b/>
                <w:sz w:val="20"/>
              </w:rPr>
              <w:t>HCl</w:t>
            </w:r>
          </w:p>
        </w:tc>
      </w:tr>
      <w:tr w:rsidR="00DA79C4" w:rsidRPr="00D93C78" w:rsidTr="00D67A69">
        <w:tc>
          <w:tcPr>
            <w:tcW w:w="1188" w:type="dxa"/>
          </w:tcPr>
          <w:p w:rsidR="00DA79C4" w:rsidRPr="00D67A69" w:rsidRDefault="00DA79C4" w:rsidP="00D67A69">
            <w:pPr>
              <w:pStyle w:val="BodyText"/>
              <w:keepNext/>
              <w:keepLines/>
              <w:spacing w:after="0"/>
              <w:jc w:val="center"/>
              <w:rPr>
                <w:i/>
                <w:sz w:val="20"/>
              </w:rPr>
            </w:pPr>
            <w:r w:rsidRPr="00D67A69">
              <w:rPr>
                <w:i/>
                <w:sz w:val="20"/>
              </w:rPr>
              <w:t>Rat</w:t>
            </w:r>
          </w:p>
        </w:tc>
        <w:tc>
          <w:tcPr>
            <w:tcW w:w="1350" w:type="dxa"/>
          </w:tcPr>
          <w:p w:rsidR="00DA79C4" w:rsidRPr="00D67A69" w:rsidRDefault="00DA79C4" w:rsidP="00D67A69">
            <w:pPr>
              <w:pStyle w:val="BodyText"/>
              <w:keepNext/>
              <w:keepLines/>
              <w:spacing w:after="0"/>
              <w:jc w:val="center"/>
              <w:rPr>
                <w:sz w:val="20"/>
                <w:lang w:val="en-US"/>
              </w:rPr>
            </w:pPr>
            <w:r w:rsidRPr="00D67A69">
              <w:rPr>
                <w:sz w:val="20"/>
                <w:lang w:val="en-US"/>
              </w:rPr>
              <w:t>Not specified</w:t>
            </w:r>
          </w:p>
        </w:tc>
        <w:tc>
          <w:tcPr>
            <w:tcW w:w="1170" w:type="dxa"/>
          </w:tcPr>
          <w:p w:rsidR="00DA79C4" w:rsidRPr="00D67A69" w:rsidRDefault="00DA79C4" w:rsidP="00D67A69">
            <w:pPr>
              <w:pStyle w:val="BodyText"/>
              <w:keepNext/>
              <w:keepLines/>
              <w:spacing w:after="0"/>
              <w:jc w:val="center"/>
              <w:rPr>
                <w:sz w:val="20"/>
                <w:lang w:val="en-US"/>
              </w:rPr>
            </w:pPr>
            <w:r w:rsidRPr="00D67A69">
              <w:rPr>
                <w:sz w:val="20"/>
                <w:lang w:val="en-US"/>
              </w:rPr>
              <w:t>5 min</w:t>
            </w:r>
          </w:p>
          <w:p w:rsidR="00DA79C4" w:rsidRPr="00D67A69" w:rsidRDefault="00DA79C4" w:rsidP="00D67A69">
            <w:pPr>
              <w:pStyle w:val="BodyText"/>
              <w:keepNext/>
              <w:keepLines/>
              <w:spacing w:after="0"/>
              <w:jc w:val="center"/>
              <w:rPr>
                <w:sz w:val="20"/>
                <w:lang w:val="en-US"/>
              </w:rPr>
            </w:pPr>
            <w:r w:rsidRPr="00D67A69">
              <w:rPr>
                <w:sz w:val="20"/>
                <w:lang w:val="en-US"/>
              </w:rPr>
              <w:t>30 min</w:t>
            </w:r>
          </w:p>
          <w:p w:rsidR="00DA79C4" w:rsidRPr="00D67A69" w:rsidRDefault="00DA79C4" w:rsidP="00D67A69">
            <w:pPr>
              <w:pStyle w:val="BodyText"/>
              <w:keepNext/>
              <w:keepLines/>
              <w:spacing w:after="0"/>
              <w:jc w:val="center"/>
              <w:rPr>
                <w:sz w:val="20"/>
                <w:lang w:val="en-US"/>
              </w:rPr>
            </w:pPr>
            <w:r w:rsidRPr="00D67A69">
              <w:rPr>
                <w:sz w:val="20"/>
                <w:lang w:val="en-US"/>
              </w:rPr>
              <w:t>60 min</w:t>
            </w:r>
          </w:p>
        </w:tc>
        <w:tc>
          <w:tcPr>
            <w:tcW w:w="1350" w:type="dxa"/>
          </w:tcPr>
          <w:p w:rsidR="00DA79C4" w:rsidRPr="00D67A69" w:rsidRDefault="00DA79C4" w:rsidP="00D67A69">
            <w:pPr>
              <w:pStyle w:val="BodyText"/>
              <w:keepNext/>
              <w:keepLines/>
              <w:spacing w:after="0"/>
              <w:jc w:val="center"/>
              <w:rPr>
                <w:sz w:val="20"/>
                <w:lang w:val="en-US"/>
              </w:rPr>
            </w:pPr>
            <w:r w:rsidRPr="00D67A69">
              <w:rPr>
                <w:sz w:val="20"/>
                <w:lang w:val="en-US"/>
              </w:rPr>
              <w:t>Not specified</w:t>
            </w:r>
          </w:p>
        </w:tc>
        <w:tc>
          <w:tcPr>
            <w:tcW w:w="1890" w:type="dxa"/>
          </w:tcPr>
          <w:p w:rsidR="00DA79C4" w:rsidRPr="00D67A69" w:rsidRDefault="00DA79C4" w:rsidP="00D67A69">
            <w:pPr>
              <w:pStyle w:val="BodyText"/>
              <w:keepNext/>
              <w:keepLines/>
              <w:spacing w:after="0"/>
              <w:jc w:val="center"/>
              <w:rPr>
                <w:sz w:val="20"/>
              </w:rPr>
            </w:pPr>
            <w:r w:rsidRPr="00D67A69">
              <w:rPr>
                <w:sz w:val="20"/>
              </w:rPr>
              <w:t>23.7-60.9 mg/L</w:t>
            </w:r>
          </w:p>
          <w:p w:rsidR="00DA79C4" w:rsidRPr="00D67A69" w:rsidRDefault="00DA79C4" w:rsidP="00D67A69">
            <w:pPr>
              <w:pStyle w:val="BodyText"/>
              <w:keepNext/>
              <w:keepLines/>
              <w:spacing w:after="0"/>
              <w:jc w:val="center"/>
              <w:rPr>
                <w:sz w:val="20"/>
              </w:rPr>
            </w:pPr>
            <w:r w:rsidRPr="00D67A69">
              <w:rPr>
                <w:sz w:val="20"/>
              </w:rPr>
              <w:t>5.7-7.0 mg/L</w:t>
            </w:r>
          </w:p>
          <w:p w:rsidR="00DA79C4" w:rsidRPr="00D67A69" w:rsidRDefault="00DA79C4" w:rsidP="00D67A69">
            <w:pPr>
              <w:pStyle w:val="BodyText"/>
              <w:keepNext/>
              <w:keepLines/>
              <w:spacing w:after="0"/>
              <w:jc w:val="center"/>
              <w:rPr>
                <w:sz w:val="20"/>
              </w:rPr>
            </w:pPr>
            <w:r w:rsidRPr="00D67A69">
              <w:rPr>
                <w:sz w:val="20"/>
              </w:rPr>
              <w:t>4.2-4.7 mg/L</w:t>
            </w:r>
          </w:p>
        </w:tc>
        <w:tc>
          <w:tcPr>
            <w:tcW w:w="2970" w:type="dxa"/>
          </w:tcPr>
          <w:p w:rsidR="00DA79C4" w:rsidRPr="00D67A69" w:rsidRDefault="00D22FE6" w:rsidP="00D67A69">
            <w:pPr>
              <w:pStyle w:val="BodyText"/>
              <w:keepNext/>
              <w:keepLines/>
              <w:spacing w:after="0"/>
              <w:jc w:val="center"/>
              <w:rPr>
                <w:sz w:val="20"/>
              </w:rPr>
            </w:pPr>
            <w:hyperlink r:id="rId34" w:history="1">
              <w:r w:rsidR="00C62D6F" w:rsidRPr="00D67A69">
                <w:rPr>
                  <w:rStyle w:val="Hyperlink"/>
                </w:rPr>
                <w:t>http://www.oecd.org/env/hazard/data</w:t>
              </w:r>
            </w:hyperlink>
          </w:p>
        </w:tc>
      </w:tr>
    </w:tbl>
    <w:p w:rsidR="00C1433D" w:rsidRPr="00D93C78" w:rsidRDefault="00C1433D" w:rsidP="00740E9A">
      <w:pPr>
        <w:pStyle w:val="Heading9"/>
        <w:spacing w:before="240"/>
        <w:jc w:val="both"/>
      </w:pPr>
      <w:r w:rsidRPr="00D93C78">
        <w:t>Dermal</w:t>
      </w:r>
    </w:p>
    <w:p w:rsidR="001B5E22" w:rsidRPr="00D93C78" w:rsidRDefault="000A1E84" w:rsidP="00D93C78">
      <w:pPr>
        <w:pStyle w:val="BodyText"/>
        <w:rPr>
          <w:b/>
          <w:i/>
          <w:szCs w:val="24"/>
        </w:rPr>
      </w:pPr>
      <w:r w:rsidRPr="00D93C78">
        <w:rPr>
          <w:b/>
          <w:i/>
          <w:szCs w:val="24"/>
        </w:rPr>
        <w:t>Sponsored substances</w:t>
      </w:r>
    </w:p>
    <w:p w:rsidR="00F44E1D" w:rsidRPr="00D93C78" w:rsidRDefault="00CD48BC" w:rsidP="00D93C78">
      <w:pPr>
        <w:pStyle w:val="BodyText"/>
        <w:rPr>
          <w:szCs w:val="24"/>
        </w:rPr>
      </w:pPr>
      <w:r w:rsidRPr="00D93C78">
        <w:rPr>
          <w:b/>
          <w:szCs w:val="24"/>
        </w:rPr>
        <w:t>VDCS</w:t>
      </w:r>
      <w:r w:rsidR="00F44E1D" w:rsidRPr="00D93C78">
        <w:rPr>
          <w:b/>
          <w:szCs w:val="24"/>
        </w:rPr>
        <w:t>:</w:t>
      </w:r>
      <w:r w:rsidR="00F44E1D" w:rsidRPr="00D93C78">
        <w:rPr>
          <w:szCs w:val="24"/>
        </w:rPr>
        <w:t xml:space="preserve"> No data located.</w:t>
      </w:r>
    </w:p>
    <w:p w:rsidR="0038641E" w:rsidRPr="00D93C78" w:rsidRDefault="00CD48BC" w:rsidP="00D93C78">
      <w:pPr>
        <w:pStyle w:val="BodyText"/>
        <w:rPr>
          <w:szCs w:val="24"/>
        </w:rPr>
      </w:pPr>
      <w:r w:rsidRPr="00D93C78">
        <w:rPr>
          <w:b/>
          <w:szCs w:val="24"/>
        </w:rPr>
        <w:t>VTCS</w:t>
      </w:r>
      <w:r w:rsidR="00F44E1D" w:rsidRPr="00D93C78">
        <w:rPr>
          <w:b/>
          <w:szCs w:val="24"/>
        </w:rPr>
        <w:t>:</w:t>
      </w:r>
      <w:r w:rsidR="00F44E1D" w:rsidRPr="00D93C78">
        <w:rPr>
          <w:szCs w:val="24"/>
        </w:rPr>
        <w:t xml:space="preserve"> </w:t>
      </w:r>
      <w:r w:rsidRPr="00D93C78">
        <w:rPr>
          <w:szCs w:val="24"/>
        </w:rPr>
        <w:t>Groups of five rabbits (5/group at two highest doses; 4/group at lowest dose</w:t>
      </w:r>
      <w:r w:rsidR="007D2D12" w:rsidRPr="00D93C78">
        <w:rPr>
          <w:szCs w:val="24"/>
        </w:rPr>
        <w:t>; sex not specified</w:t>
      </w:r>
      <w:r w:rsidR="002B435C" w:rsidRPr="00D93C78">
        <w:rPr>
          <w:szCs w:val="24"/>
        </w:rPr>
        <w:t xml:space="preserve"> for all groups</w:t>
      </w:r>
      <w:r w:rsidR="00435E20" w:rsidRPr="00D93C78">
        <w:rPr>
          <w:szCs w:val="24"/>
        </w:rPr>
        <w:t>)</w:t>
      </w:r>
      <w:r w:rsidRPr="00D93C78">
        <w:rPr>
          <w:szCs w:val="24"/>
        </w:rPr>
        <w:t xml:space="preserve"> were exposed to the test substance </w:t>
      </w:r>
      <w:r w:rsidR="00435E20" w:rsidRPr="00D93C78">
        <w:rPr>
          <w:szCs w:val="24"/>
        </w:rPr>
        <w:t xml:space="preserve">for 24 hours under occlusive cover at </w:t>
      </w:r>
      <w:r w:rsidRPr="00D93C78">
        <w:rPr>
          <w:szCs w:val="24"/>
        </w:rPr>
        <w:t xml:space="preserve">doses of </w:t>
      </w:r>
      <w:r w:rsidR="00435E20" w:rsidRPr="00D93C78">
        <w:rPr>
          <w:szCs w:val="24"/>
        </w:rPr>
        <w:t>and 0.315</w:t>
      </w:r>
      <w:r w:rsidR="007D2D12" w:rsidRPr="00D93C78">
        <w:rPr>
          <w:szCs w:val="24"/>
        </w:rPr>
        <w:t>, 0.63, and 1.26</w:t>
      </w:r>
      <w:r w:rsidR="00435E20" w:rsidRPr="00D93C78">
        <w:rPr>
          <w:szCs w:val="24"/>
        </w:rPr>
        <w:t xml:space="preserve"> ml/kg bw </w:t>
      </w:r>
      <w:r w:rsidRPr="00D93C78">
        <w:rPr>
          <w:szCs w:val="24"/>
        </w:rPr>
        <w:t>(</w:t>
      </w:r>
      <w:r w:rsidR="009A09C9" w:rsidRPr="00D93C78">
        <w:rPr>
          <w:szCs w:val="24"/>
        </w:rPr>
        <w:t xml:space="preserve">ca. </w:t>
      </w:r>
      <w:r w:rsidR="007D2D12" w:rsidRPr="00D93C78">
        <w:rPr>
          <w:szCs w:val="24"/>
        </w:rPr>
        <w:t xml:space="preserve">400, 800 and </w:t>
      </w:r>
      <w:r w:rsidR="009A09C9" w:rsidRPr="00D93C78">
        <w:rPr>
          <w:szCs w:val="24"/>
        </w:rPr>
        <w:t xml:space="preserve">1600 mg/kg bw; </w:t>
      </w:r>
      <w:r w:rsidRPr="00D93C78">
        <w:rPr>
          <w:szCs w:val="24"/>
        </w:rPr>
        <w:t>Mellon Institute,</w:t>
      </w:r>
      <w:r w:rsidR="00435E20" w:rsidRPr="00D93C78">
        <w:rPr>
          <w:szCs w:val="24"/>
        </w:rPr>
        <w:t xml:space="preserve"> </w:t>
      </w:r>
      <w:r w:rsidRPr="00D93C78">
        <w:rPr>
          <w:szCs w:val="24"/>
        </w:rPr>
        <w:t>19</w:t>
      </w:r>
      <w:r w:rsidR="007D2D12" w:rsidRPr="00D93C78">
        <w:rPr>
          <w:szCs w:val="24"/>
        </w:rPr>
        <w:t>48</w:t>
      </w:r>
      <w:r w:rsidRPr="00D93C78">
        <w:rPr>
          <w:szCs w:val="24"/>
        </w:rPr>
        <w:t>)</w:t>
      </w:r>
      <w:r w:rsidR="00435E20" w:rsidRPr="00D93C78">
        <w:rPr>
          <w:szCs w:val="24"/>
        </w:rPr>
        <w:t xml:space="preserve">. </w:t>
      </w:r>
      <w:r w:rsidR="007D2D12" w:rsidRPr="00D93C78">
        <w:rPr>
          <w:szCs w:val="24"/>
        </w:rPr>
        <w:t xml:space="preserve">Rats were observed for 14 days. Deaths occurred at the two highest concentrations. </w:t>
      </w:r>
      <w:r w:rsidR="00435E20" w:rsidRPr="00D93C78">
        <w:rPr>
          <w:szCs w:val="24"/>
        </w:rPr>
        <w:t xml:space="preserve">Perforation of the abdominal wall occurred at doses of </w:t>
      </w:r>
      <w:r w:rsidR="009A09C9" w:rsidRPr="00D93C78">
        <w:rPr>
          <w:szCs w:val="24"/>
        </w:rPr>
        <w:t>400 mg/kg bw</w:t>
      </w:r>
      <w:r w:rsidR="00435E20" w:rsidRPr="00D93C78">
        <w:rPr>
          <w:szCs w:val="24"/>
        </w:rPr>
        <w:t xml:space="preserve"> and greater. The LD</w:t>
      </w:r>
      <w:r w:rsidR="00435E20" w:rsidRPr="00D93C78">
        <w:rPr>
          <w:szCs w:val="24"/>
          <w:vertAlign w:val="subscript"/>
        </w:rPr>
        <w:t>50</w:t>
      </w:r>
      <w:r w:rsidR="00435E20" w:rsidRPr="00D93C78">
        <w:rPr>
          <w:szCs w:val="24"/>
        </w:rPr>
        <w:t xml:space="preserve"> was </w:t>
      </w:r>
      <w:r w:rsidR="009A09C9" w:rsidRPr="00D93C78">
        <w:rPr>
          <w:szCs w:val="24"/>
        </w:rPr>
        <w:t>864 mg/kg bw</w:t>
      </w:r>
      <w:r w:rsidR="00435E20" w:rsidRPr="00D93C78">
        <w:rPr>
          <w:szCs w:val="24"/>
        </w:rPr>
        <w:t>.</w:t>
      </w:r>
    </w:p>
    <w:p w:rsidR="00C1433D" w:rsidRPr="00D93C78" w:rsidRDefault="00C1433D" w:rsidP="00D93C78">
      <w:pPr>
        <w:pStyle w:val="Heading9"/>
        <w:jc w:val="both"/>
      </w:pPr>
      <w:r w:rsidRPr="00D93C78">
        <w:t>Oral</w:t>
      </w:r>
    </w:p>
    <w:p w:rsidR="007877D7" w:rsidRPr="00F1532E" w:rsidRDefault="000A1E84" w:rsidP="00F1532E">
      <w:pPr>
        <w:rPr>
          <w:b/>
          <w:i/>
        </w:rPr>
      </w:pPr>
      <w:r w:rsidRPr="00F1532E">
        <w:rPr>
          <w:b/>
          <w:i/>
        </w:rPr>
        <w:t>Sponsored</w:t>
      </w:r>
      <w:r w:rsidR="007877D7" w:rsidRPr="00F1532E">
        <w:rPr>
          <w:b/>
          <w:i/>
        </w:rPr>
        <w:t xml:space="preserve"> </w:t>
      </w:r>
      <w:r w:rsidRPr="00F1532E">
        <w:rPr>
          <w:b/>
          <w:i/>
        </w:rPr>
        <w:t>substances</w:t>
      </w:r>
    </w:p>
    <w:p w:rsidR="00C7176D" w:rsidRPr="00D93C78" w:rsidRDefault="00C7176D" w:rsidP="00740E9A">
      <w:pPr>
        <w:pStyle w:val="BodyText"/>
        <w:spacing w:before="240"/>
        <w:rPr>
          <w:szCs w:val="24"/>
        </w:rPr>
      </w:pPr>
      <w:r w:rsidRPr="00D93C78">
        <w:rPr>
          <w:b/>
          <w:szCs w:val="24"/>
        </w:rPr>
        <w:t xml:space="preserve">VDCS:  </w:t>
      </w:r>
      <w:r w:rsidRPr="00D93C78">
        <w:rPr>
          <w:szCs w:val="24"/>
        </w:rPr>
        <w:t>Wistar rats (3/sex at 200 mg/kg; 3 females at 2000 mg/kg) were administered the test substance via oral gavage using OECD TG 423 (acute toxic class method) and observed for 14 days.  None of the rats died at 200 mg/kg but all females died at 2000 mg/kg.  At 200 mg/kg, rats were hunched, and salivation, lethargy, and piloerection w</w:t>
      </w:r>
      <w:r w:rsidR="007B3889" w:rsidRPr="00D93C78">
        <w:rPr>
          <w:szCs w:val="24"/>
        </w:rPr>
        <w:t>ere</w:t>
      </w:r>
      <w:r w:rsidRPr="00D93C78">
        <w:rPr>
          <w:szCs w:val="24"/>
        </w:rPr>
        <w:t xml:space="preserve"> observed.  At 2000 mg/kg, clonic spasms, hunched/flat posture, uncoordinated movements, slow breathing, piloerection, salivation, ptosis and lethargy was observed.  Dark red discoloration in the G.I., forestomach, left liver and mesenteric lymph nodes were seen and pale discoloration of the kidney was observed</w:t>
      </w:r>
      <w:r w:rsidR="007B3889" w:rsidRPr="00D93C78">
        <w:rPr>
          <w:szCs w:val="24"/>
        </w:rPr>
        <w:t>.  The oral LD</w:t>
      </w:r>
      <w:r w:rsidR="000A1E84" w:rsidRPr="00D93C78">
        <w:rPr>
          <w:szCs w:val="24"/>
          <w:vertAlign w:val="subscript"/>
        </w:rPr>
        <w:t>50</w:t>
      </w:r>
      <w:r w:rsidRPr="00D93C78">
        <w:rPr>
          <w:szCs w:val="24"/>
        </w:rPr>
        <w:t xml:space="preserve"> </w:t>
      </w:r>
      <w:r w:rsidR="007B3889" w:rsidRPr="00D93C78">
        <w:rPr>
          <w:szCs w:val="24"/>
        </w:rPr>
        <w:t xml:space="preserve">was between 200 and 2000 mg/kg </w:t>
      </w:r>
      <w:r w:rsidRPr="00D93C78">
        <w:rPr>
          <w:szCs w:val="24"/>
        </w:rPr>
        <w:t xml:space="preserve">(Shin-Etsu Chemical Co., 2003). </w:t>
      </w:r>
    </w:p>
    <w:p w:rsidR="00E66CDF" w:rsidRPr="00D93C78" w:rsidRDefault="00AF3CEF" w:rsidP="00D93C78">
      <w:pPr>
        <w:jc w:val="both"/>
        <w:rPr>
          <w:lang w:val="en-GB"/>
        </w:rPr>
      </w:pPr>
      <w:r w:rsidRPr="00D93C78">
        <w:rPr>
          <w:b/>
        </w:rPr>
        <w:t>VTCS:</w:t>
      </w:r>
      <w:r w:rsidRPr="00D93C78">
        <w:t xml:space="preserve"> </w:t>
      </w:r>
      <w:r w:rsidR="00BE795C" w:rsidRPr="00D93C78">
        <w:t xml:space="preserve">Male albino rats (10/dose) were administered 1000, 1260, 1580 and 2000 mg/kg bw </w:t>
      </w:r>
      <w:r w:rsidR="00BE795C" w:rsidRPr="00D93C78">
        <w:rPr>
          <w:b/>
        </w:rPr>
        <w:t>VTCS</w:t>
      </w:r>
      <w:r w:rsidR="00BE795C" w:rsidRPr="00D93C78">
        <w:t xml:space="preserve"> (20% suspension in lard) via oral gavage and monitored for deaths and clinical over 14 days.  Four,  2, 8 and 9 deaths occurred (from lowest to highest doses).  Sluggishness, lower body temperatures, prostration and narcosis occurred within 4 hours after dosing.  A strong corrosive action was observed in the G.I. tract; necrosis of the G.I. tract, liver and kidney were also observed.  The LD</w:t>
      </w:r>
      <w:r w:rsidR="000A1E84" w:rsidRPr="00D93C78">
        <w:rPr>
          <w:vertAlign w:val="subscript"/>
        </w:rPr>
        <w:t>50</w:t>
      </w:r>
      <w:r w:rsidR="00BE795C" w:rsidRPr="00D93C78">
        <w:t xml:space="preserve"> was determined to be 1280 mg/kg bw (Mellon Institute, 1948).</w:t>
      </w:r>
    </w:p>
    <w:p w:rsidR="00DA79C4" w:rsidRPr="00D93C78" w:rsidRDefault="000A1E84" w:rsidP="00740E9A">
      <w:pPr>
        <w:pStyle w:val="BodyText"/>
        <w:spacing w:before="240"/>
        <w:rPr>
          <w:b/>
          <w:szCs w:val="24"/>
        </w:rPr>
      </w:pPr>
      <w:r w:rsidRPr="00D93C78">
        <w:rPr>
          <w:b/>
          <w:i/>
          <w:szCs w:val="24"/>
        </w:rPr>
        <w:t>Hydrolysis product</w:t>
      </w:r>
      <w:r w:rsidR="00DA79C4" w:rsidRPr="00D93C78">
        <w:rPr>
          <w:b/>
          <w:szCs w:val="24"/>
        </w:rPr>
        <w:t xml:space="preserve"> </w:t>
      </w:r>
    </w:p>
    <w:p w:rsidR="00DA79C4" w:rsidRPr="00D93C78" w:rsidRDefault="00DA79C4" w:rsidP="00D93C78">
      <w:pPr>
        <w:pStyle w:val="BodyText"/>
        <w:rPr>
          <w:b/>
          <w:szCs w:val="24"/>
        </w:rPr>
      </w:pPr>
      <w:r w:rsidRPr="00D93C78">
        <w:rPr>
          <w:b/>
          <w:szCs w:val="24"/>
        </w:rPr>
        <w:t>HCl</w:t>
      </w:r>
      <w:r w:rsidR="00D44F62" w:rsidRPr="00D93C78">
        <w:rPr>
          <w:b/>
          <w:szCs w:val="24"/>
        </w:rPr>
        <w:t>:</w:t>
      </w:r>
      <w:r w:rsidRPr="00D93C78">
        <w:rPr>
          <w:szCs w:val="24"/>
        </w:rPr>
        <w:t xml:space="preserve"> The acute oral LD</w:t>
      </w:r>
      <w:r w:rsidRPr="00D93C78">
        <w:rPr>
          <w:szCs w:val="24"/>
          <w:vertAlign w:val="subscript"/>
        </w:rPr>
        <w:t>50</w:t>
      </w:r>
      <w:r w:rsidRPr="00D93C78">
        <w:rPr>
          <w:szCs w:val="24"/>
        </w:rPr>
        <w:t xml:space="preserve"> values were determined to be 238-277 mg/kg bw for female rats.</w:t>
      </w:r>
    </w:p>
    <w:p w:rsidR="00C1433D" w:rsidRPr="00D93C78" w:rsidRDefault="00740E9A" w:rsidP="00CB3176">
      <w:pPr>
        <w:pStyle w:val="Caption"/>
        <w:ind w:hanging="839"/>
        <w:jc w:val="both"/>
        <w:rPr>
          <w:rFonts w:ascii="Times New Roman" w:hAnsi="Times New Roman"/>
          <w:szCs w:val="24"/>
        </w:rPr>
      </w:pPr>
      <w:bookmarkStart w:id="116" w:name="_Toc310335210"/>
      <w:r>
        <w:rPr>
          <w:rFonts w:ascii="Times New Roman" w:hAnsi="Times New Roman"/>
          <w:szCs w:val="24"/>
        </w:rPr>
        <w:t xml:space="preserve"> </w:t>
      </w:r>
      <w:r w:rsidR="00C1433D" w:rsidRPr="00D93C78">
        <w:rPr>
          <w:rFonts w:ascii="Times New Roman" w:hAnsi="Times New Roman"/>
          <w:szCs w:val="24"/>
        </w:rPr>
        <w:t xml:space="preserve">Table </w:t>
      </w:r>
      <w:r w:rsidR="00B40E06" w:rsidRPr="00D93C78">
        <w:rPr>
          <w:rFonts w:ascii="Times New Roman" w:hAnsi="Times New Roman"/>
          <w:szCs w:val="24"/>
        </w:rPr>
        <w:t>1</w:t>
      </w:r>
      <w:r w:rsidR="000509BC" w:rsidRPr="00D93C78">
        <w:rPr>
          <w:rFonts w:ascii="Times New Roman" w:hAnsi="Times New Roman"/>
          <w:szCs w:val="24"/>
        </w:rPr>
        <w:t>0</w:t>
      </w:r>
      <w:r w:rsidR="00C1433D" w:rsidRPr="00D93C78">
        <w:rPr>
          <w:rFonts w:ascii="Times New Roman" w:hAnsi="Times New Roman"/>
          <w:szCs w:val="24"/>
        </w:rPr>
        <w:t xml:space="preserve">  </w:t>
      </w:r>
      <w:r w:rsidR="00CB3176">
        <w:rPr>
          <w:rFonts w:ascii="Times New Roman" w:hAnsi="Times New Roman"/>
          <w:szCs w:val="24"/>
        </w:rPr>
        <w:t xml:space="preserve"> </w:t>
      </w:r>
      <w:r w:rsidR="00C1433D" w:rsidRPr="00D93C78">
        <w:rPr>
          <w:rFonts w:ascii="Times New Roman" w:hAnsi="Times New Roman"/>
          <w:szCs w:val="24"/>
        </w:rPr>
        <w:t>Summary of Acute Oral Toxicity Studies</w:t>
      </w:r>
      <w:bookmarkEnd w:id="116"/>
      <w:r w:rsidR="00C1433D" w:rsidRPr="00D93C78">
        <w:rPr>
          <w:rFonts w:ascii="Times New Roman" w:hAnsi="Times New Roman"/>
          <w:szCs w:val="24"/>
        </w:rPr>
        <w:t xml:space="preserve"> </w:t>
      </w:r>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736"/>
        <w:gridCol w:w="1049"/>
        <w:gridCol w:w="1336"/>
        <w:gridCol w:w="2194"/>
        <w:gridCol w:w="3244"/>
      </w:tblGrid>
      <w:tr w:rsidR="002B435C" w:rsidRPr="00D93C78" w:rsidTr="00F1532E">
        <w:tc>
          <w:tcPr>
            <w:tcW w:w="1638" w:type="dxa"/>
            <w:tcBorders>
              <w:top w:val="single" w:sz="12" w:space="0" w:color="auto"/>
              <w:bottom w:val="single" w:sz="12" w:space="0" w:color="auto"/>
            </w:tcBorders>
          </w:tcPr>
          <w:p w:rsidR="002B435C" w:rsidRPr="00CB3176" w:rsidRDefault="002B435C" w:rsidP="00CB3176">
            <w:pPr>
              <w:pStyle w:val="BodyText"/>
              <w:spacing w:after="0"/>
              <w:jc w:val="center"/>
              <w:rPr>
                <w:b/>
                <w:sz w:val="20"/>
                <w:lang w:val="en-US"/>
              </w:rPr>
            </w:pPr>
          </w:p>
        </w:tc>
        <w:tc>
          <w:tcPr>
            <w:tcW w:w="990" w:type="dxa"/>
            <w:tcBorders>
              <w:top w:val="single" w:sz="12" w:space="0" w:color="auto"/>
              <w:bottom w:val="single" w:sz="12" w:space="0" w:color="auto"/>
            </w:tcBorders>
          </w:tcPr>
          <w:p w:rsidR="002B435C" w:rsidRPr="00CB3176" w:rsidRDefault="002B435C" w:rsidP="00CB3176">
            <w:pPr>
              <w:pStyle w:val="BodyText"/>
              <w:spacing w:after="0"/>
              <w:jc w:val="center"/>
              <w:rPr>
                <w:b/>
                <w:sz w:val="20"/>
                <w:lang w:val="en-US"/>
              </w:rPr>
            </w:pPr>
            <w:r w:rsidRPr="00CB3176">
              <w:rPr>
                <w:b/>
                <w:sz w:val="20"/>
                <w:lang w:val="en-US"/>
              </w:rPr>
              <w:t>Species</w:t>
            </w:r>
          </w:p>
        </w:tc>
        <w:tc>
          <w:tcPr>
            <w:tcW w:w="1260" w:type="dxa"/>
            <w:tcBorders>
              <w:top w:val="single" w:sz="12" w:space="0" w:color="auto"/>
              <w:bottom w:val="single" w:sz="12" w:space="0" w:color="auto"/>
            </w:tcBorders>
          </w:tcPr>
          <w:p w:rsidR="002B435C" w:rsidRPr="00CB3176" w:rsidRDefault="002B435C" w:rsidP="00CB3176">
            <w:pPr>
              <w:pStyle w:val="BodyText"/>
              <w:spacing w:after="0"/>
              <w:jc w:val="center"/>
              <w:rPr>
                <w:b/>
                <w:sz w:val="20"/>
                <w:vertAlign w:val="superscript"/>
                <w:lang w:val="en-US"/>
              </w:rPr>
            </w:pPr>
            <w:r w:rsidRPr="00CB3176">
              <w:rPr>
                <w:b/>
                <w:sz w:val="20"/>
                <w:lang w:val="en-US"/>
              </w:rPr>
              <w:t>Sex</w:t>
            </w:r>
          </w:p>
        </w:tc>
        <w:tc>
          <w:tcPr>
            <w:tcW w:w="2070" w:type="dxa"/>
            <w:tcBorders>
              <w:top w:val="single" w:sz="12" w:space="0" w:color="auto"/>
              <w:bottom w:val="single" w:sz="12" w:space="0" w:color="auto"/>
            </w:tcBorders>
          </w:tcPr>
          <w:p w:rsidR="002B435C" w:rsidRPr="00CB3176" w:rsidRDefault="002B435C" w:rsidP="00CB3176">
            <w:pPr>
              <w:pStyle w:val="BodyText"/>
              <w:spacing w:after="0"/>
              <w:jc w:val="center"/>
              <w:rPr>
                <w:b/>
                <w:sz w:val="20"/>
                <w:lang w:val="en-US"/>
              </w:rPr>
            </w:pPr>
            <w:r w:rsidRPr="00CB3176">
              <w:rPr>
                <w:b/>
                <w:sz w:val="20"/>
                <w:lang w:val="en-US"/>
              </w:rPr>
              <w:t>LD</w:t>
            </w:r>
            <w:r w:rsidRPr="00CB3176">
              <w:rPr>
                <w:b/>
                <w:sz w:val="20"/>
                <w:vertAlign w:val="subscript"/>
                <w:lang w:val="en-US"/>
              </w:rPr>
              <w:t xml:space="preserve">50 </w:t>
            </w:r>
            <w:r w:rsidRPr="00CB3176">
              <w:rPr>
                <w:b/>
                <w:sz w:val="20"/>
                <w:lang w:val="en-US"/>
              </w:rPr>
              <w:t>(mg/kg bw)</w:t>
            </w:r>
          </w:p>
        </w:tc>
        <w:tc>
          <w:tcPr>
            <w:tcW w:w="3060" w:type="dxa"/>
            <w:tcBorders>
              <w:top w:val="single" w:sz="12" w:space="0" w:color="auto"/>
              <w:bottom w:val="single" w:sz="12" w:space="0" w:color="auto"/>
            </w:tcBorders>
          </w:tcPr>
          <w:p w:rsidR="002B435C" w:rsidRPr="00CB3176" w:rsidRDefault="002B435C" w:rsidP="00CB3176">
            <w:pPr>
              <w:pStyle w:val="BodyText"/>
              <w:spacing w:after="0"/>
              <w:jc w:val="center"/>
              <w:rPr>
                <w:b/>
                <w:sz w:val="20"/>
                <w:lang w:val="en-US"/>
              </w:rPr>
            </w:pPr>
            <w:r w:rsidRPr="00CB3176">
              <w:rPr>
                <w:b/>
                <w:sz w:val="20"/>
                <w:lang w:val="en-US"/>
              </w:rPr>
              <w:t>Reference</w:t>
            </w:r>
          </w:p>
        </w:tc>
      </w:tr>
      <w:tr w:rsidR="002B435C" w:rsidRPr="00D93C78" w:rsidTr="00F1532E">
        <w:tc>
          <w:tcPr>
            <w:tcW w:w="9018" w:type="dxa"/>
            <w:gridSpan w:val="5"/>
            <w:tcBorders>
              <w:top w:val="single" w:sz="12" w:space="0" w:color="auto"/>
              <w:bottom w:val="single" w:sz="6" w:space="0" w:color="auto"/>
            </w:tcBorders>
          </w:tcPr>
          <w:p w:rsidR="002B435C" w:rsidRPr="00CB3176" w:rsidRDefault="002B435C" w:rsidP="00CB3176">
            <w:pPr>
              <w:pStyle w:val="BodyText"/>
              <w:spacing w:after="0"/>
              <w:jc w:val="center"/>
              <w:rPr>
                <w:b/>
                <w:sz w:val="20"/>
              </w:rPr>
            </w:pPr>
            <w:r w:rsidRPr="00CB3176">
              <w:rPr>
                <w:b/>
                <w:sz w:val="20"/>
                <w:lang w:val="en-US"/>
              </w:rPr>
              <w:t>Sponsored substance</w:t>
            </w:r>
          </w:p>
        </w:tc>
      </w:tr>
      <w:tr w:rsidR="002B435C" w:rsidRPr="00D93C78" w:rsidTr="00F1532E">
        <w:tc>
          <w:tcPr>
            <w:tcW w:w="9018" w:type="dxa"/>
            <w:gridSpan w:val="5"/>
            <w:tcBorders>
              <w:top w:val="single" w:sz="6" w:space="0" w:color="auto"/>
            </w:tcBorders>
          </w:tcPr>
          <w:p w:rsidR="002B435C" w:rsidRPr="00CB3176" w:rsidRDefault="002B435C" w:rsidP="00CB3176">
            <w:pPr>
              <w:pStyle w:val="BodyText"/>
              <w:spacing w:after="0"/>
              <w:jc w:val="center"/>
              <w:rPr>
                <w:b/>
                <w:sz w:val="20"/>
              </w:rPr>
            </w:pPr>
            <w:r w:rsidRPr="00CB3176">
              <w:rPr>
                <w:b/>
                <w:sz w:val="20"/>
              </w:rPr>
              <w:t>VDCS</w:t>
            </w:r>
          </w:p>
        </w:tc>
      </w:tr>
      <w:tr w:rsidR="002B435C" w:rsidRPr="00D93C78" w:rsidTr="00CB3176">
        <w:tc>
          <w:tcPr>
            <w:tcW w:w="1638" w:type="dxa"/>
          </w:tcPr>
          <w:p w:rsidR="002B435C" w:rsidRPr="00CB3176" w:rsidRDefault="002B435C" w:rsidP="00CB3176">
            <w:pPr>
              <w:pStyle w:val="BodyText"/>
              <w:keepNext/>
              <w:tabs>
                <w:tab w:val="left" w:pos="839"/>
              </w:tabs>
              <w:autoSpaceDE w:val="0"/>
              <w:autoSpaceDN w:val="0"/>
              <w:spacing w:before="360" w:after="0"/>
              <w:ind w:left="839" w:hanging="839"/>
              <w:jc w:val="center"/>
              <w:outlineLvl w:val="0"/>
              <w:rPr>
                <w:sz w:val="20"/>
              </w:rPr>
            </w:pPr>
          </w:p>
        </w:tc>
        <w:tc>
          <w:tcPr>
            <w:tcW w:w="990" w:type="dxa"/>
          </w:tcPr>
          <w:p w:rsidR="002B435C" w:rsidRPr="00CB3176" w:rsidRDefault="002B435C" w:rsidP="00CB3176">
            <w:pPr>
              <w:pStyle w:val="BodyText"/>
              <w:keepNext/>
              <w:tabs>
                <w:tab w:val="left" w:pos="839"/>
              </w:tabs>
              <w:autoSpaceDE w:val="0"/>
              <w:autoSpaceDN w:val="0"/>
              <w:spacing w:before="360" w:after="0"/>
              <w:ind w:left="839" w:hanging="839"/>
              <w:jc w:val="center"/>
              <w:outlineLvl w:val="0"/>
              <w:rPr>
                <w:sz w:val="20"/>
              </w:rPr>
            </w:pPr>
            <w:r w:rsidRPr="00CB3176">
              <w:rPr>
                <w:sz w:val="20"/>
              </w:rPr>
              <w:t>Rat</w:t>
            </w:r>
          </w:p>
        </w:tc>
        <w:tc>
          <w:tcPr>
            <w:tcW w:w="1260" w:type="dxa"/>
          </w:tcPr>
          <w:p w:rsidR="002B435C" w:rsidRPr="00CB3176" w:rsidRDefault="002B435C" w:rsidP="00CB3176">
            <w:pPr>
              <w:pStyle w:val="BodyText"/>
              <w:keepNext/>
              <w:tabs>
                <w:tab w:val="left" w:pos="839"/>
              </w:tabs>
              <w:autoSpaceDE w:val="0"/>
              <w:autoSpaceDN w:val="0"/>
              <w:spacing w:before="360" w:after="0"/>
              <w:ind w:left="839" w:hanging="839"/>
              <w:jc w:val="center"/>
              <w:outlineLvl w:val="0"/>
              <w:rPr>
                <w:sz w:val="20"/>
              </w:rPr>
            </w:pPr>
            <w:r w:rsidRPr="00CB3176">
              <w:rPr>
                <w:sz w:val="20"/>
              </w:rPr>
              <w:t>Male/female</w:t>
            </w:r>
          </w:p>
        </w:tc>
        <w:tc>
          <w:tcPr>
            <w:tcW w:w="2070" w:type="dxa"/>
          </w:tcPr>
          <w:p w:rsidR="002B435C" w:rsidRPr="00CB3176" w:rsidRDefault="002B435C" w:rsidP="00CB3176">
            <w:pPr>
              <w:pStyle w:val="BodyText"/>
              <w:keepNext/>
              <w:tabs>
                <w:tab w:val="left" w:pos="839"/>
              </w:tabs>
              <w:autoSpaceDE w:val="0"/>
              <w:autoSpaceDN w:val="0"/>
              <w:spacing w:before="360" w:after="0"/>
              <w:ind w:left="839" w:hanging="839"/>
              <w:jc w:val="center"/>
              <w:outlineLvl w:val="0"/>
              <w:rPr>
                <w:sz w:val="20"/>
              </w:rPr>
            </w:pPr>
            <w:r w:rsidRPr="00CB3176">
              <w:rPr>
                <w:sz w:val="20"/>
              </w:rPr>
              <w:t>Between 200 and 2000</w:t>
            </w:r>
          </w:p>
        </w:tc>
        <w:tc>
          <w:tcPr>
            <w:tcW w:w="3060" w:type="dxa"/>
          </w:tcPr>
          <w:p w:rsidR="002B435C" w:rsidRPr="00CB3176" w:rsidRDefault="002B435C" w:rsidP="00CB3176">
            <w:pPr>
              <w:pStyle w:val="BodyText"/>
              <w:spacing w:after="0"/>
              <w:jc w:val="center"/>
              <w:rPr>
                <w:b/>
                <w:sz w:val="20"/>
              </w:rPr>
            </w:pPr>
            <w:r w:rsidRPr="00CB3176">
              <w:rPr>
                <w:sz w:val="20"/>
              </w:rPr>
              <w:t>Shin-Etsu Chemical Co., 2003</w:t>
            </w:r>
          </w:p>
        </w:tc>
      </w:tr>
      <w:tr w:rsidR="002B435C" w:rsidRPr="00D93C78" w:rsidTr="00CB3176">
        <w:tc>
          <w:tcPr>
            <w:tcW w:w="9018" w:type="dxa"/>
            <w:gridSpan w:val="5"/>
          </w:tcPr>
          <w:p w:rsidR="002B435C" w:rsidRPr="00CB3176" w:rsidRDefault="002B435C" w:rsidP="00CB3176">
            <w:pPr>
              <w:pStyle w:val="BodyText"/>
              <w:spacing w:after="0"/>
              <w:jc w:val="center"/>
              <w:rPr>
                <w:b/>
                <w:sz w:val="20"/>
              </w:rPr>
            </w:pPr>
            <w:r w:rsidRPr="00CB3176">
              <w:rPr>
                <w:b/>
                <w:sz w:val="20"/>
              </w:rPr>
              <w:t>VTCS</w:t>
            </w:r>
          </w:p>
        </w:tc>
      </w:tr>
      <w:tr w:rsidR="002B435C" w:rsidRPr="00D93C78" w:rsidTr="00F1532E">
        <w:tc>
          <w:tcPr>
            <w:tcW w:w="1638" w:type="dxa"/>
            <w:tcBorders>
              <w:bottom w:val="single" w:sz="6" w:space="0" w:color="auto"/>
            </w:tcBorders>
          </w:tcPr>
          <w:p w:rsidR="002B435C" w:rsidRPr="00CB3176" w:rsidRDefault="002B435C" w:rsidP="00CB3176">
            <w:pPr>
              <w:pStyle w:val="BodyText"/>
              <w:spacing w:after="0"/>
              <w:jc w:val="center"/>
              <w:rPr>
                <w:sz w:val="20"/>
                <w:lang w:val="en-US"/>
              </w:rPr>
            </w:pPr>
          </w:p>
        </w:tc>
        <w:tc>
          <w:tcPr>
            <w:tcW w:w="990" w:type="dxa"/>
            <w:tcBorders>
              <w:bottom w:val="single" w:sz="6" w:space="0" w:color="auto"/>
            </w:tcBorders>
          </w:tcPr>
          <w:p w:rsidR="002B435C" w:rsidRPr="00CB3176" w:rsidRDefault="002B435C" w:rsidP="00CB3176">
            <w:pPr>
              <w:pStyle w:val="BodyText"/>
              <w:spacing w:after="0"/>
              <w:jc w:val="center"/>
              <w:rPr>
                <w:sz w:val="20"/>
                <w:lang w:val="en-US"/>
              </w:rPr>
            </w:pPr>
            <w:r w:rsidRPr="00CB3176">
              <w:rPr>
                <w:sz w:val="20"/>
                <w:lang w:val="en-US"/>
              </w:rPr>
              <w:t>Rat</w:t>
            </w:r>
          </w:p>
        </w:tc>
        <w:tc>
          <w:tcPr>
            <w:tcW w:w="1260" w:type="dxa"/>
            <w:tcBorders>
              <w:bottom w:val="single" w:sz="6" w:space="0" w:color="auto"/>
            </w:tcBorders>
          </w:tcPr>
          <w:p w:rsidR="002B435C" w:rsidRPr="00CB3176" w:rsidRDefault="002B435C" w:rsidP="00CB3176">
            <w:pPr>
              <w:pStyle w:val="BodyText"/>
              <w:spacing w:after="0"/>
              <w:jc w:val="center"/>
              <w:rPr>
                <w:sz w:val="20"/>
                <w:lang w:val="en-US"/>
              </w:rPr>
            </w:pPr>
            <w:r w:rsidRPr="00CB3176">
              <w:rPr>
                <w:sz w:val="20"/>
                <w:lang w:val="en-US"/>
              </w:rPr>
              <w:t>Male</w:t>
            </w:r>
          </w:p>
        </w:tc>
        <w:tc>
          <w:tcPr>
            <w:tcW w:w="2070" w:type="dxa"/>
            <w:tcBorders>
              <w:bottom w:val="single" w:sz="6" w:space="0" w:color="auto"/>
            </w:tcBorders>
          </w:tcPr>
          <w:p w:rsidR="002B435C" w:rsidRPr="00CB3176" w:rsidRDefault="002B435C" w:rsidP="00CB3176">
            <w:pPr>
              <w:pStyle w:val="BodyText"/>
              <w:spacing w:after="0"/>
              <w:jc w:val="center"/>
              <w:rPr>
                <w:sz w:val="20"/>
                <w:lang w:val="en-US"/>
              </w:rPr>
            </w:pPr>
            <w:r w:rsidRPr="00CB3176">
              <w:rPr>
                <w:sz w:val="20"/>
                <w:lang w:val="en-US"/>
              </w:rPr>
              <w:t>1280</w:t>
            </w:r>
          </w:p>
        </w:tc>
        <w:tc>
          <w:tcPr>
            <w:tcW w:w="3060" w:type="dxa"/>
            <w:tcBorders>
              <w:bottom w:val="single" w:sz="6" w:space="0" w:color="auto"/>
            </w:tcBorders>
          </w:tcPr>
          <w:p w:rsidR="002B435C" w:rsidRPr="00CB3176" w:rsidRDefault="002B435C" w:rsidP="00CB3176">
            <w:pPr>
              <w:pStyle w:val="BodyText"/>
              <w:keepNext/>
              <w:tabs>
                <w:tab w:val="left" w:pos="839"/>
              </w:tabs>
              <w:autoSpaceDE w:val="0"/>
              <w:autoSpaceDN w:val="0"/>
              <w:spacing w:before="360" w:after="0"/>
              <w:ind w:left="839" w:hanging="839"/>
              <w:jc w:val="center"/>
              <w:outlineLvl w:val="0"/>
              <w:rPr>
                <w:sz w:val="20"/>
              </w:rPr>
            </w:pPr>
            <w:r w:rsidRPr="00CB3176">
              <w:rPr>
                <w:sz w:val="20"/>
              </w:rPr>
              <w:t>Mellon Institute, 1948</w:t>
            </w:r>
          </w:p>
          <w:p w:rsidR="002B435C" w:rsidRPr="00CB3176" w:rsidRDefault="002B435C" w:rsidP="00CB3176">
            <w:pPr>
              <w:pStyle w:val="BodyText"/>
              <w:spacing w:after="0"/>
              <w:jc w:val="center"/>
              <w:rPr>
                <w:sz w:val="20"/>
                <w:lang w:val="en-US"/>
              </w:rPr>
            </w:pPr>
          </w:p>
        </w:tc>
      </w:tr>
      <w:tr w:rsidR="002B435C" w:rsidRPr="00D93C78" w:rsidTr="00F1532E">
        <w:tc>
          <w:tcPr>
            <w:tcW w:w="9018" w:type="dxa"/>
            <w:gridSpan w:val="5"/>
            <w:tcBorders>
              <w:top w:val="single" w:sz="6" w:space="0" w:color="auto"/>
              <w:bottom w:val="single" w:sz="6" w:space="0" w:color="auto"/>
            </w:tcBorders>
          </w:tcPr>
          <w:p w:rsidR="002B435C" w:rsidRPr="00CB3176" w:rsidRDefault="002B435C" w:rsidP="00CB3176">
            <w:pPr>
              <w:pStyle w:val="BodyText"/>
              <w:spacing w:after="0"/>
              <w:jc w:val="center"/>
              <w:rPr>
                <w:b/>
                <w:sz w:val="20"/>
              </w:rPr>
            </w:pPr>
            <w:r w:rsidRPr="00CB3176">
              <w:rPr>
                <w:b/>
                <w:sz w:val="20"/>
              </w:rPr>
              <w:t>Hydrolysis product</w:t>
            </w:r>
          </w:p>
        </w:tc>
      </w:tr>
      <w:tr w:rsidR="002B435C" w:rsidRPr="00D93C78" w:rsidTr="00F1532E">
        <w:tc>
          <w:tcPr>
            <w:tcW w:w="9018" w:type="dxa"/>
            <w:gridSpan w:val="5"/>
            <w:tcBorders>
              <w:top w:val="single" w:sz="6" w:space="0" w:color="auto"/>
            </w:tcBorders>
          </w:tcPr>
          <w:p w:rsidR="002B435C" w:rsidRPr="00CB3176" w:rsidRDefault="002B435C" w:rsidP="00CB3176">
            <w:pPr>
              <w:pStyle w:val="BodyText"/>
              <w:spacing w:after="0"/>
              <w:jc w:val="center"/>
              <w:rPr>
                <w:b/>
                <w:sz w:val="20"/>
                <w:lang w:val="en-US"/>
              </w:rPr>
            </w:pPr>
            <w:r w:rsidRPr="00CB3176">
              <w:rPr>
                <w:b/>
                <w:sz w:val="20"/>
              </w:rPr>
              <w:t>HCl</w:t>
            </w:r>
          </w:p>
        </w:tc>
      </w:tr>
      <w:tr w:rsidR="002B435C" w:rsidRPr="00D93C78" w:rsidTr="00CB3176">
        <w:tc>
          <w:tcPr>
            <w:tcW w:w="1638" w:type="dxa"/>
          </w:tcPr>
          <w:p w:rsidR="002B435C" w:rsidRPr="00CB3176" w:rsidRDefault="002B435C" w:rsidP="00CB3176">
            <w:pPr>
              <w:pStyle w:val="BodyText"/>
              <w:spacing w:after="0"/>
              <w:jc w:val="center"/>
              <w:rPr>
                <w:sz w:val="20"/>
                <w:lang w:val="en-US"/>
              </w:rPr>
            </w:pPr>
          </w:p>
        </w:tc>
        <w:tc>
          <w:tcPr>
            <w:tcW w:w="990" w:type="dxa"/>
          </w:tcPr>
          <w:p w:rsidR="002B435C" w:rsidRPr="00CB3176" w:rsidRDefault="002B435C" w:rsidP="00CB3176">
            <w:pPr>
              <w:pStyle w:val="BodyText"/>
              <w:spacing w:after="0"/>
              <w:jc w:val="center"/>
              <w:rPr>
                <w:sz w:val="20"/>
                <w:lang w:val="en-US"/>
              </w:rPr>
            </w:pPr>
            <w:r w:rsidRPr="00CB3176">
              <w:rPr>
                <w:sz w:val="20"/>
                <w:lang w:val="en-US"/>
              </w:rPr>
              <w:t>Rat</w:t>
            </w:r>
          </w:p>
        </w:tc>
        <w:tc>
          <w:tcPr>
            <w:tcW w:w="1260" w:type="dxa"/>
          </w:tcPr>
          <w:p w:rsidR="002B435C" w:rsidRPr="00CB3176" w:rsidRDefault="002B435C" w:rsidP="00CB3176">
            <w:pPr>
              <w:pStyle w:val="BodyText"/>
              <w:spacing w:after="0"/>
              <w:jc w:val="center"/>
              <w:rPr>
                <w:sz w:val="20"/>
                <w:lang w:val="en-US"/>
              </w:rPr>
            </w:pPr>
            <w:r w:rsidRPr="00CB3176">
              <w:rPr>
                <w:sz w:val="20"/>
                <w:lang w:val="en-US"/>
              </w:rPr>
              <w:t>Female</w:t>
            </w:r>
          </w:p>
        </w:tc>
        <w:tc>
          <w:tcPr>
            <w:tcW w:w="2070" w:type="dxa"/>
          </w:tcPr>
          <w:p w:rsidR="002B435C" w:rsidRPr="00CB3176" w:rsidRDefault="002B435C" w:rsidP="00CB3176">
            <w:pPr>
              <w:pStyle w:val="BodyText"/>
              <w:spacing w:after="0"/>
              <w:jc w:val="center"/>
              <w:rPr>
                <w:sz w:val="20"/>
                <w:lang w:val="en-US"/>
              </w:rPr>
            </w:pPr>
            <w:r w:rsidRPr="00CB3176">
              <w:rPr>
                <w:sz w:val="20"/>
                <w:lang w:val="en-US"/>
              </w:rPr>
              <w:t>238-277</w:t>
            </w:r>
          </w:p>
        </w:tc>
        <w:tc>
          <w:tcPr>
            <w:tcW w:w="3060" w:type="dxa"/>
          </w:tcPr>
          <w:p w:rsidR="002B435C" w:rsidRPr="00CB3176" w:rsidRDefault="00D22FE6" w:rsidP="00CB3176">
            <w:pPr>
              <w:pStyle w:val="BodyText"/>
              <w:spacing w:after="0"/>
              <w:jc w:val="center"/>
              <w:rPr>
                <w:sz w:val="20"/>
                <w:lang w:val="en-US"/>
              </w:rPr>
            </w:pPr>
            <w:hyperlink r:id="rId35" w:history="1">
              <w:r w:rsidR="00C62D6F" w:rsidRPr="00CB3176">
                <w:rPr>
                  <w:rStyle w:val="Hyperlink"/>
                </w:rPr>
                <w:t>http://www.oecd.org/env/hazard/data</w:t>
              </w:r>
            </w:hyperlink>
          </w:p>
        </w:tc>
      </w:tr>
    </w:tbl>
    <w:p w:rsidR="00C1433D" w:rsidRPr="00D93C78" w:rsidRDefault="00C1433D" w:rsidP="00740E9A">
      <w:pPr>
        <w:pStyle w:val="Heading8"/>
        <w:spacing w:before="240"/>
        <w:jc w:val="both"/>
      </w:pPr>
      <w:r w:rsidRPr="00D93C78">
        <w:t>Conclusion</w:t>
      </w:r>
    </w:p>
    <w:p w:rsidR="00C94E09" w:rsidRPr="00D93C78" w:rsidRDefault="003F6152" w:rsidP="00D93C78">
      <w:pPr>
        <w:pStyle w:val="BodyText"/>
        <w:rPr>
          <w:b/>
          <w:szCs w:val="24"/>
        </w:rPr>
      </w:pPr>
      <w:r w:rsidRPr="00D93C78">
        <w:rPr>
          <w:szCs w:val="24"/>
        </w:rPr>
        <w:t xml:space="preserve">The acute </w:t>
      </w:r>
      <w:r w:rsidR="003B594E" w:rsidRPr="00D93C78">
        <w:rPr>
          <w:szCs w:val="24"/>
        </w:rPr>
        <w:t xml:space="preserve">inhalation </w:t>
      </w:r>
      <w:r w:rsidRPr="00D93C78">
        <w:rPr>
          <w:szCs w:val="24"/>
        </w:rPr>
        <w:t xml:space="preserve">toxicity of </w:t>
      </w:r>
      <w:r w:rsidR="003B594E" w:rsidRPr="00D93C78">
        <w:rPr>
          <w:szCs w:val="24"/>
        </w:rPr>
        <w:t xml:space="preserve">the </w:t>
      </w:r>
      <w:r w:rsidR="007F246A" w:rsidRPr="00D93C78">
        <w:rPr>
          <w:szCs w:val="24"/>
        </w:rPr>
        <w:t>vinyl</w:t>
      </w:r>
      <w:r w:rsidR="00413FFD" w:rsidRPr="00D93C78">
        <w:rPr>
          <w:szCs w:val="24"/>
        </w:rPr>
        <w:t xml:space="preserve"> chlorosilanes</w:t>
      </w:r>
      <w:r w:rsidR="00505D8C" w:rsidRPr="00D93C78">
        <w:rPr>
          <w:szCs w:val="24"/>
        </w:rPr>
        <w:t xml:space="preserve"> </w:t>
      </w:r>
      <w:r w:rsidRPr="00D93C78">
        <w:rPr>
          <w:szCs w:val="24"/>
        </w:rPr>
        <w:t xml:space="preserve">is well characterized by the effects of HCl exposure.  </w:t>
      </w:r>
      <w:r w:rsidR="00C1433D" w:rsidRPr="00D93C78">
        <w:rPr>
          <w:szCs w:val="24"/>
        </w:rPr>
        <w:t xml:space="preserve">The </w:t>
      </w:r>
      <w:r w:rsidR="00505D8C" w:rsidRPr="00D93C78">
        <w:rPr>
          <w:szCs w:val="24"/>
        </w:rPr>
        <w:t>1</w:t>
      </w:r>
      <w:r w:rsidR="009905A0" w:rsidRPr="00D93C78">
        <w:rPr>
          <w:szCs w:val="24"/>
        </w:rPr>
        <w:t>-</w:t>
      </w:r>
      <w:r w:rsidR="00C1433D" w:rsidRPr="00D93C78">
        <w:rPr>
          <w:szCs w:val="24"/>
        </w:rPr>
        <w:t>hour acute inhalation LC</w:t>
      </w:r>
      <w:r w:rsidR="00C1433D" w:rsidRPr="00D93C78">
        <w:rPr>
          <w:szCs w:val="24"/>
          <w:vertAlign w:val="subscript"/>
        </w:rPr>
        <w:t>50</w:t>
      </w:r>
      <w:r w:rsidR="00C1433D" w:rsidRPr="00D93C78">
        <w:rPr>
          <w:szCs w:val="24"/>
        </w:rPr>
        <w:t xml:space="preserve"> for </w:t>
      </w:r>
      <w:r w:rsidR="00042C45" w:rsidRPr="00D93C78">
        <w:rPr>
          <w:b/>
          <w:szCs w:val="24"/>
        </w:rPr>
        <w:t>VDCS</w:t>
      </w:r>
      <w:r w:rsidR="00042C45" w:rsidRPr="00D93C78">
        <w:rPr>
          <w:szCs w:val="24"/>
        </w:rPr>
        <w:t xml:space="preserve"> in rats was </w:t>
      </w:r>
      <w:r w:rsidR="009905A0" w:rsidRPr="00D93C78">
        <w:rPr>
          <w:szCs w:val="24"/>
          <w:u w:val="single"/>
        </w:rPr>
        <w:t>&gt;</w:t>
      </w:r>
      <w:r w:rsidR="000A1E84" w:rsidRPr="00D93C78">
        <w:rPr>
          <w:szCs w:val="24"/>
        </w:rPr>
        <w:t xml:space="preserve"> 8.61 mg/L</w:t>
      </w:r>
      <w:r w:rsidR="00E161CA" w:rsidRPr="00D93C78">
        <w:rPr>
          <w:szCs w:val="24"/>
        </w:rPr>
        <w:t xml:space="preserve"> and </w:t>
      </w:r>
      <w:r w:rsidR="00E161CA" w:rsidRPr="00D93C78">
        <w:rPr>
          <w:szCs w:val="24"/>
          <w:u w:val="single"/>
        </w:rPr>
        <w:t>&lt;</w:t>
      </w:r>
      <w:r w:rsidR="009905A0" w:rsidRPr="00D93C78">
        <w:rPr>
          <w:szCs w:val="24"/>
        </w:rPr>
        <w:t xml:space="preserve"> </w:t>
      </w:r>
      <w:r w:rsidR="00E161CA" w:rsidRPr="00D93C78">
        <w:rPr>
          <w:szCs w:val="24"/>
        </w:rPr>
        <w:t>9.61 mg/L</w:t>
      </w:r>
      <w:r w:rsidR="000C7C70" w:rsidRPr="00D93C78">
        <w:rPr>
          <w:szCs w:val="24"/>
        </w:rPr>
        <w:t>.</w:t>
      </w:r>
      <w:r w:rsidR="00577609" w:rsidRPr="00D93C78">
        <w:rPr>
          <w:szCs w:val="24"/>
        </w:rPr>
        <w:t xml:space="preserve"> </w:t>
      </w:r>
      <w:r w:rsidR="00042C45" w:rsidRPr="00D93C78">
        <w:rPr>
          <w:szCs w:val="24"/>
        </w:rPr>
        <w:t xml:space="preserve">For </w:t>
      </w:r>
      <w:r w:rsidR="00042C45" w:rsidRPr="00D93C78">
        <w:rPr>
          <w:b/>
          <w:szCs w:val="24"/>
        </w:rPr>
        <w:t>VTCS</w:t>
      </w:r>
      <w:r w:rsidR="00042C45" w:rsidRPr="00D93C78">
        <w:rPr>
          <w:szCs w:val="24"/>
        </w:rPr>
        <w:t>, the 4-h</w:t>
      </w:r>
      <w:r w:rsidR="002B435C" w:rsidRPr="00D93C78">
        <w:rPr>
          <w:szCs w:val="24"/>
        </w:rPr>
        <w:t>ou</w:t>
      </w:r>
      <w:r w:rsidR="00042C45" w:rsidRPr="00D93C78">
        <w:rPr>
          <w:szCs w:val="24"/>
        </w:rPr>
        <w:t>r value in rats is &lt; 0.73 mg/L, and the 1-h</w:t>
      </w:r>
      <w:r w:rsidR="002B435C" w:rsidRPr="00D93C78">
        <w:rPr>
          <w:szCs w:val="24"/>
        </w:rPr>
        <w:t>ou</w:t>
      </w:r>
      <w:r w:rsidR="00042C45" w:rsidRPr="00D93C78">
        <w:rPr>
          <w:szCs w:val="24"/>
        </w:rPr>
        <w:t xml:space="preserve">r values in rats were 10.63 and </w:t>
      </w:r>
      <w:r w:rsidR="00CB7713" w:rsidRPr="00D93C78">
        <w:rPr>
          <w:szCs w:val="24"/>
        </w:rPr>
        <w:t>13.13</w:t>
      </w:r>
      <w:r w:rsidR="00577609" w:rsidRPr="00D93C78">
        <w:rPr>
          <w:szCs w:val="24"/>
        </w:rPr>
        <w:t xml:space="preserve"> mg/L (</w:t>
      </w:r>
      <w:r w:rsidR="00042C45" w:rsidRPr="00D93C78">
        <w:rPr>
          <w:szCs w:val="24"/>
        </w:rPr>
        <w:t>both nominal values</w:t>
      </w:r>
      <w:r w:rsidR="00577609" w:rsidRPr="00D93C78">
        <w:rPr>
          <w:szCs w:val="24"/>
        </w:rPr>
        <w:t>)</w:t>
      </w:r>
      <w:r w:rsidR="00C1433D" w:rsidRPr="00D93C78">
        <w:rPr>
          <w:szCs w:val="24"/>
        </w:rPr>
        <w:t xml:space="preserve">. </w:t>
      </w:r>
      <w:r w:rsidR="003B594E" w:rsidRPr="00D93C78">
        <w:rPr>
          <w:szCs w:val="24"/>
        </w:rPr>
        <w:t xml:space="preserve"> </w:t>
      </w:r>
      <w:r w:rsidR="005728C8" w:rsidRPr="00D93C78">
        <w:rPr>
          <w:szCs w:val="24"/>
        </w:rPr>
        <w:t xml:space="preserve">Clinical signs and necropsy findings for animals that died during the study reflected the corrosive nature of the test substance. </w:t>
      </w:r>
      <w:r w:rsidR="00C94E09" w:rsidRPr="00D93C78">
        <w:rPr>
          <w:szCs w:val="24"/>
        </w:rPr>
        <w:t>Inhalation LC</w:t>
      </w:r>
      <w:r w:rsidR="00C94E09" w:rsidRPr="00D93C78">
        <w:rPr>
          <w:szCs w:val="24"/>
          <w:vertAlign w:val="subscript"/>
        </w:rPr>
        <w:t>50</w:t>
      </w:r>
      <w:r w:rsidR="00C94E09" w:rsidRPr="00D93C78">
        <w:rPr>
          <w:szCs w:val="24"/>
        </w:rPr>
        <w:t xml:space="preserve"> values for HCl were determined to be 4.2-4.7 mg/L for 1 hour for rats. </w:t>
      </w:r>
      <w:r w:rsidR="005805DC" w:rsidRPr="00D93C78">
        <w:rPr>
          <w:szCs w:val="24"/>
        </w:rPr>
        <w:t>The dermal LD</w:t>
      </w:r>
      <w:r w:rsidR="005805DC" w:rsidRPr="00D93C78">
        <w:rPr>
          <w:szCs w:val="24"/>
          <w:vertAlign w:val="subscript"/>
        </w:rPr>
        <w:t>50</w:t>
      </w:r>
      <w:r w:rsidR="005805DC" w:rsidRPr="00D93C78">
        <w:rPr>
          <w:szCs w:val="24"/>
        </w:rPr>
        <w:t xml:space="preserve"> of </w:t>
      </w:r>
      <w:r w:rsidR="007F246A" w:rsidRPr="00D93C78">
        <w:rPr>
          <w:b/>
          <w:szCs w:val="24"/>
        </w:rPr>
        <w:t>VTCS</w:t>
      </w:r>
      <w:r w:rsidR="005805DC" w:rsidRPr="00D93C78">
        <w:rPr>
          <w:szCs w:val="24"/>
        </w:rPr>
        <w:t xml:space="preserve"> in </w:t>
      </w:r>
      <w:r w:rsidR="00F26EAC" w:rsidRPr="00D93C78">
        <w:rPr>
          <w:szCs w:val="24"/>
        </w:rPr>
        <w:t>rabbits</w:t>
      </w:r>
      <w:r w:rsidR="005805DC" w:rsidRPr="00D93C78">
        <w:rPr>
          <w:szCs w:val="24"/>
        </w:rPr>
        <w:t xml:space="preserve"> was </w:t>
      </w:r>
      <w:r w:rsidR="00E0168D" w:rsidRPr="00D93C78">
        <w:rPr>
          <w:szCs w:val="24"/>
        </w:rPr>
        <w:t>ca. 864 mg/kg bw</w:t>
      </w:r>
      <w:r w:rsidR="00FB104B" w:rsidRPr="00D93C78">
        <w:rPr>
          <w:szCs w:val="24"/>
        </w:rPr>
        <w:t xml:space="preserve">; dermal toxicity data were not located for </w:t>
      </w:r>
      <w:r w:rsidR="00CB7713" w:rsidRPr="00D93C78">
        <w:rPr>
          <w:b/>
          <w:szCs w:val="24"/>
        </w:rPr>
        <w:t>VDCS</w:t>
      </w:r>
      <w:r w:rsidR="003B594E" w:rsidRPr="00D93C78">
        <w:rPr>
          <w:szCs w:val="24"/>
        </w:rPr>
        <w:t xml:space="preserve">.  </w:t>
      </w:r>
      <w:r w:rsidR="00042C45" w:rsidRPr="00D93C78">
        <w:rPr>
          <w:szCs w:val="24"/>
        </w:rPr>
        <w:t>The oral LD</w:t>
      </w:r>
      <w:r w:rsidR="000A1E84" w:rsidRPr="00D93C78">
        <w:rPr>
          <w:szCs w:val="24"/>
          <w:vertAlign w:val="subscript"/>
        </w:rPr>
        <w:t>50</w:t>
      </w:r>
      <w:r w:rsidR="00042C45" w:rsidRPr="00D93C78">
        <w:rPr>
          <w:szCs w:val="24"/>
        </w:rPr>
        <w:t>s in rats were between 200 and 2000 mg/kg (</w:t>
      </w:r>
      <w:r w:rsidR="00042C45" w:rsidRPr="00D93C78">
        <w:rPr>
          <w:b/>
          <w:szCs w:val="24"/>
        </w:rPr>
        <w:t>VDCS</w:t>
      </w:r>
      <w:r w:rsidR="00042C45" w:rsidRPr="00D93C78">
        <w:rPr>
          <w:szCs w:val="24"/>
        </w:rPr>
        <w:t>) and 1280 mg/kg (</w:t>
      </w:r>
      <w:r w:rsidR="00042C45" w:rsidRPr="00D93C78">
        <w:rPr>
          <w:b/>
          <w:szCs w:val="24"/>
        </w:rPr>
        <w:t>VTCS</w:t>
      </w:r>
      <w:r w:rsidR="00042C45" w:rsidRPr="00D93C78">
        <w:rPr>
          <w:szCs w:val="24"/>
        </w:rPr>
        <w:t>)</w:t>
      </w:r>
      <w:r w:rsidR="005728C8" w:rsidRPr="00D93C78">
        <w:rPr>
          <w:szCs w:val="24"/>
        </w:rPr>
        <w:t>; corrosive effects were observed in the gastrointestinal tract (site of contact)</w:t>
      </w:r>
      <w:r w:rsidR="00042C45" w:rsidRPr="00D93C78">
        <w:rPr>
          <w:szCs w:val="24"/>
        </w:rPr>
        <w:t xml:space="preserve">.  </w:t>
      </w:r>
      <w:r w:rsidR="00C94E09" w:rsidRPr="00D93C78">
        <w:rPr>
          <w:szCs w:val="24"/>
        </w:rPr>
        <w:t>The acute oral LD</w:t>
      </w:r>
      <w:r w:rsidR="00C94E09" w:rsidRPr="00D93C78">
        <w:rPr>
          <w:szCs w:val="24"/>
          <w:vertAlign w:val="subscript"/>
        </w:rPr>
        <w:t>50</w:t>
      </w:r>
      <w:r w:rsidR="00C94E09" w:rsidRPr="00D93C78">
        <w:rPr>
          <w:szCs w:val="24"/>
        </w:rPr>
        <w:t xml:space="preserve"> values of HCl were determined to be 238-277 mg/kg bw for female rats.</w:t>
      </w:r>
    </w:p>
    <w:p w:rsidR="00C1433D" w:rsidRPr="00D93C78" w:rsidRDefault="00C1433D" w:rsidP="00D93C78">
      <w:pPr>
        <w:pStyle w:val="Heading3"/>
        <w:numPr>
          <w:ilvl w:val="0"/>
          <w:numId w:val="0"/>
        </w:numPr>
        <w:tabs>
          <w:tab w:val="clear" w:pos="2160"/>
        </w:tabs>
        <w:jc w:val="both"/>
        <w:rPr>
          <w:rFonts w:ascii="Times New Roman" w:hAnsi="Times New Roman"/>
          <w:szCs w:val="24"/>
        </w:rPr>
      </w:pPr>
      <w:bookmarkStart w:id="117" w:name="_Toc32726031"/>
      <w:bookmarkStart w:id="118" w:name="_Toc32727214"/>
      <w:bookmarkStart w:id="119" w:name="_Toc43868662"/>
      <w:bookmarkStart w:id="120" w:name="_Toc200358250"/>
      <w:bookmarkStart w:id="121" w:name="_Toc310335190"/>
      <w:r w:rsidRPr="00D93C78">
        <w:rPr>
          <w:rFonts w:ascii="Times New Roman" w:hAnsi="Times New Roman"/>
          <w:szCs w:val="24"/>
        </w:rPr>
        <w:t>3.1.3</w:t>
      </w:r>
      <w:r w:rsidRPr="00D93C78">
        <w:rPr>
          <w:rFonts w:ascii="Times New Roman" w:hAnsi="Times New Roman"/>
          <w:szCs w:val="24"/>
        </w:rPr>
        <w:tab/>
        <w:t>Irritation</w:t>
      </w:r>
      <w:bookmarkEnd w:id="117"/>
      <w:bookmarkEnd w:id="118"/>
      <w:bookmarkEnd w:id="119"/>
      <w:bookmarkEnd w:id="120"/>
      <w:bookmarkEnd w:id="121"/>
    </w:p>
    <w:p w:rsidR="00C1433D" w:rsidRPr="00D93C78" w:rsidRDefault="00C1433D" w:rsidP="00D93C78">
      <w:pPr>
        <w:pStyle w:val="BodyText"/>
        <w:rPr>
          <w:szCs w:val="24"/>
        </w:rPr>
      </w:pPr>
      <w:r w:rsidRPr="00D93C78">
        <w:rPr>
          <w:szCs w:val="24"/>
        </w:rPr>
        <w:t xml:space="preserve">Skin </w:t>
      </w:r>
      <w:r w:rsidR="002E3846" w:rsidRPr="00D93C78">
        <w:rPr>
          <w:szCs w:val="24"/>
        </w:rPr>
        <w:t xml:space="preserve">and eye </w:t>
      </w:r>
      <w:r w:rsidRPr="00D93C78">
        <w:rPr>
          <w:szCs w:val="24"/>
        </w:rPr>
        <w:t xml:space="preserve">irritation data are </w:t>
      </w:r>
      <w:r w:rsidR="002E3846" w:rsidRPr="00D93C78">
        <w:rPr>
          <w:szCs w:val="24"/>
        </w:rPr>
        <w:t xml:space="preserve">not </w:t>
      </w:r>
      <w:r w:rsidRPr="00D93C78">
        <w:rPr>
          <w:szCs w:val="24"/>
        </w:rPr>
        <w:t xml:space="preserve">available for </w:t>
      </w:r>
      <w:r w:rsidR="002B435C" w:rsidRPr="00D93C78">
        <w:rPr>
          <w:szCs w:val="24"/>
        </w:rPr>
        <w:t>the sponsored substances</w:t>
      </w:r>
      <w:r w:rsidRPr="00D93C78">
        <w:rPr>
          <w:szCs w:val="24"/>
        </w:rPr>
        <w:t xml:space="preserve">. </w:t>
      </w:r>
      <w:r w:rsidR="00552385" w:rsidRPr="00D93C78">
        <w:rPr>
          <w:szCs w:val="24"/>
        </w:rPr>
        <w:t>S</w:t>
      </w:r>
      <w:r w:rsidR="008D61EE" w:rsidRPr="00D93C78">
        <w:rPr>
          <w:szCs w:val="24"/>
        </w:rPr>
        <w:t>kin and eye irritation data are available for</w:t>
      </w:r>
      <w:r w:rsidR="00765AA2" w:rsidRPr="00D93C78">
        <w:rPr>
          <w:szCs w:val="24"/>
        </w:rPr>
        <w:t xml:space="preserve"> </w:t>
      </w:r>
      <w:r w:rsidRPr="00D93C78">
        <w:rPr>
          <w:szCs w:val="24"/>
        </w:rPr>
        <w:t>HCl.</w:t>
      </w:r>
      <w:r w:rsidR="002A254B" w:rsidRPr="00D93C78">
        <w:rPr>
          <w:szCs w:val="24"/>
        </w:rPr>
        <w:t xml:space="preserve"> </w:t>
      </w:r>
      <w:r w:rsidR="00765AA2" w:rsidRPr="00D93C78">
        <w:rPr>
          <w:szCs w:val="24"/>
        </w:rPr>
        <w:t xml:space="preserve">Respiratory </w:t>
      </w:r>
      <w:r w:rsidR="00FE755D" w:rsidRPr="00D93C78">
        <w:rPr>
          <w:szCs w:val="24"/>
        </w:rPr>
        <w:t>and G.I tract</w:t>
      </w:r>
      <w:r w:rsidR="00765AA2" w:rsidRPr="00D93C78">
        <w:rPr>
          <w:szCs w:val="24"/>
        </w:rPr>
        <w:t xml:space="preserve"> irritation data are available for </w:t>
      </w:r>
      <w:r w:rsidR="006F695D" w:rsidRPr="00D93C78">
        <w:rPr>
          <w:szCs w:val="24"/>
        </w:rPr>
        <w:t>the sponsored substances</w:t>
      </w:r>
      <w:r w:rsidR="00B85344" w:rsidRPr="00D93C78">
        <w:rPr>
          <w:szCs w:val="24"/>
        </w:rPr>
        <w:t xml:space="preserve"> </w:t>
      </w:r>
      <w:r w:rsidR="006F695D" w:rsidRPr="00D93C78">
        <w:rPr>
          <w:szCs w:val="24"/>
        </w:rPr>
        <w:t xml:space="preserve">and </w:t>
      </w:r>
      <w:r w:rsidR="00765AA2" w:rsidRPr="00D93C78">
        <w:rPr>
          <w:szCs w:val="24"/>
        </w:rPr>
        <w:t>HCl.</w:t>
      </w:r>
    </w:p>
    <w:p w:rsidR="00C1433D" w:rsidRPr="00D93C78" w:rsidRDefault="00C1433D" w:rsidP="00D93C78">
      <w:pPr>
        <w:pStyle w:val="Heading8"/>
        <w:jc w:val="both"/>
      </w:pPr>
      <w:r w:rsidRPr="00D93C78">
        <w:t>Skin Irritation</w:t>
      </w:r>
    </w:p>
    <w:p w:rsidR="00C1433D" w:rsidRPr="00D93C78" w:rsidRDefault="00C1433D" w:rsidP="00D93C78">
      <w:pPr>
        <w:pStyle w:val="Heading9"/>
        <w:jc w:val="both"/>
      </w:pPr>
      <w:r w:rsidRPr="00D93C78">
        <w:t>Studies in Animals</w:t>
      </w:r>
    </w:p>
    <w:p w:rsidR="007877D7" w:rsidRPr="00D93C78" w:rsidRDefault="000A1E84" w:rsidP="00D93C78">
      <w:pPr>
        <w:pStyle w:val="BodyText"/>
        <w:rPr>
          <w:b/>
          <w:i/>
          <w:szCs w:val="24"/>
        </w:rPr>
      </w:pPr>
      <w:r w:rsidRPr="00D93C78">
        <w:rPr>
          <w:b/>
          <w:i/>
          <w:szCs w:val="24"/>
        </w:rPr>
        <w:t>Sponsored substances</w:t>
      </w:r>
    </w:p>
    <w:p w:rsidR="00F26EAC" w:rsidRPr="00D93C78" w:rsidRDefault="007F246A" w:rsidP="00D93C78">
      <w:pPr>
        <w:pStyle w:val="BodyText"/>
        <w:rPr>
          <w:szCs w:val="24"/>
        </w:rPr>
      </w:pPr>
      <w:r w:rsidRPr="00D93C78">
        <w:rPr>
          <w:b/>
          <w:szCs w:val="24"/>
        </w:rPr>
        <w:t>VDCS</w:t>
      </w:r>
      <w:r w:rsidR="00D44F62" w:rsidRPr="00D93C78">
        <w:rPr>
          <w:b/>
          <w:szCs w:val="24"/>
        </w:rPr>
        <w:t>:</w:t>
      </w:r>
      <w:r w:rsidR="00F26EAC" w:rsidRPr="00D93C78">
        <w:rPr>
          <w:szCs w:val="24"/>
        </w:rPr>
        <w:t xml:space="preserve"> </w:t>
      </w:r>
      <w:r w:rsidRPr="00D93C78">
        <w:rPr>
          <w:szCs w:val="24"/>
        </w:rPr>
        <w:t>No data located.</w:t>
      </w:r>
    </w:p>
    <w:p w:rsidR="00717F86" w:rsidRPr="00D93C78" w:rsidRDefault="007F246A" w:rsidP="00D93C78">
      <w:pPr>
        <w:pStyle w:val="BodyText"/>
        <w:rPr>
          <w:b/>
          <w:szCs w:val="24"/>
        </w:rPr>
      </w:pPr>
      <w:r w:rsidRPr="00D93C78">
        <w:rPr>
          <w:b/>
          <w:szCs w:val="24"/>
        </w:rPr>
        <w:t>VTCS</w:t>
      </w:r>
      <w:r w:rsidR="00D44F62" w:rsidRPr="00D93C78">
        <w:rPr>
          <w:b/>
          <w:szCs w:val="24"/>
        </w:rPr>
        <w:t>:</w:t>
      </w:r>
      <w:r w:rsidR="00147201" w:rsidRPr="00D93C78">
        <w:rPr>
          <w:b/>
          <w:szCs w:val="24"/>
        </w:rPr>
        <w:t xml:space="preserve"> </w:t>
      </w:r>
      <w:r w:rsidR="00147201" w:rsidRPr="00D93C78">
        <w:rPr>
          <w:szCs w:val="24"/>
        </w:rPr>
        <w:t>No acceptable data located.</w:t>
      </w:r>
      <w:r w:rsidR="00717F86" w:rsidRPr="00D93C78">
        <w:rPr>
          <w:b/>
          <w:szCs w:val="24"/>
        </w:rPr>
        <w:t xml:space="preserve"> </w:t>
      </w:r>
    </w:p>
    <w:p w:rsidR="00717F86" w:rsidRPr="00D93C78" w:rsidRDefault="00C94E09" w:rsidP="00D93C78">
      <w:pPr>
        <w:pStyle w:val="BodyText"/>
        <w:rPr>
          <w:b/>
          <w:szCs w:val="24"/>
        </w:rPr>
      </w:pPr>
      <w:r w:rsidRPr="00D93C78">
        <w:rPr>
          <w:b/>
          <w:szCs w:val="24"/>
        </w:rPr>
        <w:t xml:space="preserve">Hydrolysis product: </w:t>
      </w:r>
    </w:p>
    <w:p w:rsidR="00C1433D" w:rsidRPr="00D93C78" w:rsidRDefault="00C1433D" w:rsidP="00D93C78">
      <w:pPr>
        <w:pStyle w:val="BodyText"/>
        <w:rPr>
          <w:szCs w:val="24"/>
        </w:rPr>
      </w:pPr>
      <w:r w:rsidRPr="00D93C78">
        <w:rPr>
          <w:b/>
          <w:szCs w:val="24"/>
        </w:rPr>
        <w:t>HCl</w:t>
      </w:r>
      <w:r w:rsidR="00D44F62" w:rsidRPr="00D93C78">
        <w:rPr>
          <w:b/>
          <w:szCs w:val="24"/>
        </w:rPr>
        <w:t>:</w:t>
      </w:r>
      <w:r w:rsidRPr="00D93C78">
        <w:rPr>
          <w:szCs w:val="24"/>
        </w:rPr>
        <w:t xml:space="preserve"> Hydrogen chloride is corrosive to the skin.</w:t>
      </w:r>
      <w:r w:rsidR="002B435C" w:rsidRPr="00D93C78">
        <w:rPr>
          <w:szCs w:val="24"/>
        </w:rPr>
        <w:t>`</w:t>
      </w:r>
    </w:p>
    <w:p w:rsidR="00C1433D" w:rsidRPr="00D93C78" w:rsidRDefault="00C1433D" w:rsidP="00D93C78">
      <w:pPr>
        <w:pStyle w:val="Heading8"/>
        <w:jc w:val="both"/>
      </w:pPr>
      <w:r w:rsidRPr="00D93C78">
        <w:t>Eye Irritation</w:t>
      </w:r>
    </w:p>
    <w:p w:rsidR="00C1433D" w:rsidRPr="00D93C78" w:rsidRDefault="00C1433D" w:rsidP="00D93C78">
      <w:pPr>
        <w:pStyle w:val="Heading9"/>
        <w:jc w:val="both"/>
      </w:pPr>
      <w:r w:rsidRPr="00D93C78">
        <w:t>Studies in Animals</w:t>
      </w:r>
    </w:p>
    <w:p w:rsidR="007F246A" w:rsidRPr="00D93C78" w:rsidRDefault="00FC1AEA" w:rsidP="00D93C78">
      <w:pPr>
        <w:pStyle w:val="BodyText"/>
        <w:rPr>
          <w:b/>
          <w:szCs w:val="24"/>
        </w:rPr>
      </w:pPr>
      <w:r w:rsidRPr="00D93C78">
        <w:rPr>
          <w:b/>
          <w:i/>
          <w:szCs w:val="24"/>
        </w:rPr>
        <w:t>Sponsored substances</w:t>
      </w:r>
    </w:p>
    <w:p w:rsidR="007F246A" w:rsidRPr="00D93C78" w:rsidRDefault="007F246A" w:rsidP="00D93C78">
      <w:pPr>
        <w:pStyle w:val="BodyText"/>
        <w:rPr>
          <w:szCs w:val="24"/>
        </w:rPr>
      </w:pPr>
      <w:r w:rsidRPr="00D93C78">
        <w:rPr>
          <w:b/>
          <w:szCs w:val="24"/>
        </w:rPr>
        <w:t>VDCS</w:t>
      </w:r>
      <w:r w:rsidR="00D44F62" w:rsidRPr="00D93C78">
        <w:rPr>
          <w:b/>
          <w:szCs w:val="24"/>
        </w:rPr>
        <w:t>:</w:t>
      </w:r>
      <w:r w:rsidRPr="00D93C78">
        <w:rPr>
          <w:szCs w:val="24"/>
        </w:rPr>
        <w:t xml:space="preserve"> No data located.</w:t>
      </w:r>
    </w:p>
    <w:p w:rsidR="00147201" w:rsidRPr="00D93C78" w:rsidRDefault="00147201" w:rsidP="00D93C78">
      <w:pPr>
        <w:pStyle w:val="BodyText"/>
        <w:rPr>
          <w:szCs w:val="24"/>
        </w:rPr>
      </w:pPr>
      <w:r w:rsidRPr="00D93C78">
        <w:rPr>
          <w:b/>
          <w:szCs w:val="24"/>
        </w:rPr>
        <w:t>VTCS:</w:t>
      </w:r>
      <w:r w:rsidRPr="00D93C78">
        <w:rPr>
          <w:szCs w:val="24"/>
        </w:rPr>
        <w:t xml:space="preserve">  No acceptable data located.</w:t>
      </w:r>
    </w:p>
    <w:p w:rsidR="00DA79C4" w:rsidRPr="00D93C78" w:rsidRDefault="000A1E84" w:rsidP="00D93C78">
      <w:pPr>
        <w:pStyle w:val="BodyText"/>
        <w:rPr>
          <w:b/>
          <w:szCs w:val="24"/>
        </w:rPr>
      </w:pPr>
      <w:r w:rsidRPr="00D93C78">
        <w:rPr>
          <w:b/>
          <w:i/>
          <w:szCs w:val="24"/>
        </w:rPr>
        <w:t>Hydrolysis product</w:t>
      </w:r>
    </w:p>
    <w:p w:rsidR="00C1433D" w:rsidRPr="00D93C78" w:rsidRDefault="00C1433D" w:rsidP="00D93C78">
      <w:pPr>
        <w:pStyle w:val="BodyText"/>
        <w:rPr>
          <w:szCs w:val="24"/>
        </w:rPr>
      </w:pPr>
      <w:r w:rsidRPr="00D93C78">
        <w:rPr>
          <w:b/>
          <w:szCs w:val="24"/>
        </w:rPr>
        <w:t>HCl</w:t>
      </w:r>
      <w:r w:rsidR="00D44F62" w:rsidRPr="00D93C78">
        <w:rPr>
          <w:b/>
          <w:szCs w:val="24"/>
        </w:rPr>
        <w:t>:</w:t>
      </w:r>
      <w:r w:rsidRPr="00D93C78">
        <w:rPr>
          <w:szCs w:val="24"/>
        </w:rPr>
        <w:t xml:space="preserve"> Severe effects can be expected from exposure to the eyes.</w:t>
      </w:r>
    </w:p>
    <w:p w:rsidR="006D6EB5" w:rsidRPr="00D93C78" w:rsidRDefault="006D6EB5" w:rsidP="00D93C78">
      <w:pPr>
        <w:pStyle w:val="Heading8"/>
        <w:jc w:val="both"/>
      </w:pPr>
      <w:r w:rsidRPr="00D93C78">
        <w:t>G.I Tract Irritation</w:t>
      </w:r>
    </w:p>
    <w:p w:rsidR="006D6EB5" w:rsidRPr="00D93C78" w:rsidRDefault="006D6EB5" w:rsidP="00D93C78">
      <w:pPr>
        <w:pStyle w:val="Heading9"/>
        <w:jc w:val="both"/>
      </w:pPr>
      <w:r w:rsidRPr="00D93C78">
        <w:t>Studies in Animals</w:t>
      </w:r>
    </w:p>
    <w:p w:rsidR="006D6EB5" w:rsidRPr="00D93C78" w:rsidRDefault="006D6EB5" w:rsidP="00D93C78">
      <w:pPr>
        <w:pStyle w:val="BodyText"/>
        <w:rPr>
          <w:b/>
          <w:szCs w:val="24"/>
        </w:rPr>
      </w:pPr>
      <w:r w:rsidRPr="00D93C78">
        <w:rPr>
          <w:b/>
          <w:i/>
          <w:szCs w:val="24"/>
        </w:rPr>
        <w:t>Sponsored substances</w:t>
      </w:r>
    </w:p>
    <w:p w:rsidR="00C17773" w:rsidRPr="00D93C78" w:rsidRDefault="006D6EB5" w:rsidP="00D93C78">
      <w:pPr>
        <w:pStyle w:val="BodyText"/>
        <w:rPr>
          <w:szCs w:val="24"/>
        </w:rPr>
      </w:pPr>
      <w:r w:rsidRPr="00D93C78">
        <w:rPr>
          <w:b/>
          <w:szCs w:val="24"/>
        </w:rPr>
        <w:t>VDCS</w:t>
      </w:r>
      <w:r w:rsidRPr="00D93C78">
        <w:rPr>
          <w:szCs w:val="24"/>
        </w:rPr>
        <w:t>:  Wistar rats (3/sex at 200 mg/kg; 3 females at 2000 mg/kg) were administered the test substance via oral gavage using OECD TG 423 (acute toxic class method) and observed for 14 days.  Dark red discoloration in the GI</w:t>
      </w:r>
      <w:r w:rsidR="00377541" w:rsidRPr="00D93C78">
        <w:rPr>
          <w:szCs w:val="24"/>
        </w:rPr>
        <w:t xml:space="preserve"> tract</w:t>
      </w:r>
      <w:r w:rsidRPr="00D93C78">
        <w:rPr>
          <w:szCs w:val="24"/>
        </w:rPr>
        <w:t xml:space="preserve"> were observed.</w:t>
      </w:r>
    </w:p>
    <w:p w:rsidR="00C17773" w:rsidRPr="00D93C78" w:rsidRDefault="006D6EB5" w:rsidP="00D93C78">
      <w:pPr>
        <w:pStyle w:val="BodyText"/>
        <w:rPr>
          <w:szCs w:val="24"/>
        </w:rPr>
      </w:pPr>
      <w:r w:rsidRPr="00D93C78">
        <w:rPr>
          <w:b/>
          <w:szCs w:val="24"/>
        </w:rPr>
        <w:t>VTCS</w:t>
      </w:r>
      <w:r w:rsidRPr="00D93C78">
        <w:rPr>
          <w:szCs w:val="24"/>
        </w:rPr>
        <w:t xml:space="preserve">:  Male albino rats (10/dose) were administered 1000, 1260, 1580 and 2000 mg/kg bw </w:t>
      </w:r>
      <w:r w:rsidRPr="00D93C78">
        <w:rPr>
          <w:b/>
          <w:szCs w:val="24"/>
        </w:rPr>
        <w:t>VTCS</w:t>
      </w:r>
      <w:r w:rsidRPr="00D93C78">
        <w:rPr>
          <w:szCs w:val="24"/>
        </w:rPr>
        <w:t xml:space="preserve"> (20% suspension in lard) via oral gavage and monitored for deaths and clinical over 14 days.  A strong corrosive action was observed in the G.I. tract; necrosis of the G.I. tract was also observed.</w:t>
      </w:r>
    </w:p>
    <w:p w:rsidR="00C1433D" w:rsidRPr="00D93C78" w:rsidRDefault="00C1433D" w:rsidP="00D93C78">
      <w:pPr>
        <w:pStyle w:val="Heading8"/>
        <w:jc w:val="both"/>
      </w:pPr>
      <w:r w:rsidRPr="00D93C78">
        <w:t>Respiratory Tract Irritation</w:t>
      </w:r>
    </w:p>
    <w:p w:rsidR="00C1433D" w:rsidRPr="00D93C78" w:rsidRDefault="00C1433D" w:rsidP="00D93C78">
      <w:pPr>
        <w:pStyle w:val="Heading9"/>
        <w:jc w:val="both"/>
      </w:pPr>
      <w:r w:rsidRPr="00D93C78">
        <w:t>Studies in Animals</w:t>
      </w:r>
    </w:p>
    <w:p w:rsidR="007877D7" w:rsidRPr="00D93C78" w:rsidRDefault="000A1E84" w:rsidP="00D93C78">
      <w:pPr>
        <w:pStyle w:val="BodyText"/>
        <w:rPr>
          <w:b/>
          <w:szCs w:val="24"/>
        </w:rPr>
      </w:pPr>
      <w:r w:rsidRPr="00D93C78">
        <w:rPr>
          <w:b/>
          <w:i/>
          <w:szCs w:val="24"/>
        </w:rPr>
        <w:t>Sponsored substances</w:t>
      </w:r>
    </w:p>
    <w:p w:rsidR="001F2A70" w:rsidRPr="00D93C78" w:rsidRDefault="007F246A" w:rsidP="00D93C78">
      <w:pPr>
        <w:pStyle w:val="BodyText"/>
        <w:rPr>
          <w:szCs w:val="24"/>
        </w:rPr>
      </w:pPr>
      <w:r w:rsidRPr="00D93C78">
        <w:rPr>
          <w:b/>
          <w:szCs w:val="24"/>
        </w:rPr>
        <w:t>VDCS</w:t>
      </w:r>
      <w:r w:rsidR="00D44F62" w:rsidRPr="00D93C78">
        <w:rPr>
          <w:b/>
          <w:szCs w:val="24"/>
        </w:rPr>
        <w:t>:</w:t>
      </w:r>
      <w:r w:rsidR="00654229" w:rsidRPr="00D93C78">
        <w:rPr>
          <w:szCs w:val="24"/>
        </w:rPr>
        <w:t xml:space="preserve"> </w:t>
      </w:r>
      <w:r w:rsidR="009163B4" w:rsidRPr="00D93C78">
        <w:rPr>
          <w:szCs w:val="24"/>
        </w:rPr>
        <w:t>In a</w:t>
      </w:r>
      <w:r w:rsidR="00C62D6F" w:rsidRPr="00D93C78">
        <w:rPr>
          <w:szCs w:val="24"/>
        </w:rPr>
        <w:t>n acute inhalation</w:t>
      </w:r>
      <w:r w:rsidR="009163B4" w:rsidRPr="00D93C78">
        <w:rPr>
          <w:szCs w:val="24"/>
        </w:rPr>
        <w:t xml:space="preserve"> study, groups of 5 Fischer 344 rats/sex were exposed by whole body inhalation to 1597, 2005, 2119 and 2242 ppm (nominal</w:t>
      </w:r>
      <w:r w:rsidR="009B4BE7" w:rsidRPr="00D93C78">
        <w:rPr>
          <w:szCs w:val="24"/>
        </w:rPr>
        <w:t>; 6.80, 8.54, 9.02, and 9.55 mg/L</w:t>
      </w:r>
      <w:r w:rsidR="009163B4" w:rsidRPr="00D93C78">
        <w:rPr>
          <w:szCs w:val="24"/>
        </w:rPr>
        <w:t>) for one hour (Dow Corning Corporation, 2002).  Clinical signs potentially indicative of respiratory tract irritation included labored breathing, rales, and gasping.</w:t>
      </w:r>
    </w:p>
    <w:p w:rsidR="00577609" w:rsidRPr="00D93C78" w:rsidRDefault="007F246A" w:rsidP="00D93C78">
      <w:pPr>
        <w:jc w:val="both"/>
      </w:pPr>
      <w:r w:rsidRPr="00D93C78">
        <w:rPr>
          <w:b/>
        </w:rPr>
        <w:t>VTCS</w:t>
      </w:r>
      <w:r w:rsidR="001F2A70" w:rsidRPr="00D93C78">
        <w:t xml:space="preserve">: </w:t>
      </w:r>
      <w:r w:rsidR="009163B4" w:rsidRPr="00D93C78">
        <w:t xml:space="preserve">(1) </w:t>
      </w:r>
      <w:r w:rsidR="00432DAD" w:rsidRPr="00D93C78">
        <w:t>G</w:t>
      </w:r>
      <w:r w:rsidR="009163B4" w:rsidRPr="00D93C78">
        <w:t xml:space="preserve">roups of 5 Fischer 344 rats/sex were exposed by whole body inhalation to </w:t>
      </w:r>
      <w:r w:rsidR="00432DAD" w:rsidRPr="00D93C78">
        <w:t xml:space="preserve">mean measured concentrations </w:t>
      </w:r>
      <w:r w:rsidR="009163B4" w:rsidRPr="00D93C78">
        <w:rPr>
          <w:lang w:val="en-GB"/>
        </w:rPr>
        <w:t>500, 575 665 and 832 ppm (</w:t>
      </w:r>
      <w:r w:rsidR="009B4BE7" w:rsidRPr="00D93C78">
        <w:rPr>
          <w:lang w:val="en-GB"/>
        </w:rPr>
        <w:t>3.30, 3.80, 4.39, and 5.49 mg/L</w:t>
      </w:r>
      <w:r w:rsidR="009163B4" w:rsidRPr="00D93C78">
        <w:t>) for one hour (</w:t>
      </w:r>
      <w:r w:rsidR="00432DAD" w:rsidRPr="00D93C78">
        <w:t>Dow Corning, 19</w:t>
      </w:r>
      <w:r w:rsidR="00FB6D23" w:rsidRPr="00D93C78">
        <w:t>9</w:t>
      </w:r>
      <w:r w:rsidR="00432DAD" w:rsidRPr="00D93C78">
        <w:t>7</w:t>
      </w:r>
      <w:r w:rsidR="009163B4" w:rsidRPr="00D93C78">
        <w:t>).</w:t>
      </w:r>
      <w:r w:rsidR="009163B4" w:rsidRPr="00D93C78">
        <w:rPr>
          <w:lang w:val="en-GB"/>
        </w:rPr>
        <w:t xml:space="preserve"> </w:t>
      </w:r>
      <w:r w:rsidR="00432DAD" w:rsidRPr="00D93C78">
        <w:rPr>
          <w:lang w:val="en-GB"/>
        </w:rPr>
        <w:t xml:space="preserve">Higher nominal concentrations indicated hydrolysis of the test substance. </w:t>
      </w:r>
      <w:r w:rsidR="009163B4" w:rsidRPr="00D93C78">
        <w:t xml:space="preserve">Respiratory effects potentially indicative of respiratory tract irritation included labored breathing, rales and gasping and nasal effects (dried material/crustation on and around the nose). </w:t>
      </w:r>
    </w:p>
    <w:p w:rsidR="001F2A70" w:rsidRPr="00D93C78" w:rsidRDefault="009163B4" w:rsidP="00D93C78">
      <w:pPr>
        <w:jc w:val="both"/>
        <w:rPr>
          <w:b/>
        </w:rPr>
      </w:pPr>
      <w:r w:rsidRPr="00D93C78">
        <w:t xml:space="preserve">(2) </w:t>
      </w:r>
      <w:r w:rsidR="00432DAD" w:rsidRPr="00D93C78">
        <w:t>G</w:t>
      </w:r>
      <w:r w:rsidRPr="00D93C78">
        <w:t xml:space="preserve">roups of 5 Sprague-Dawley rats/sex exposed for one hour by whole body inhalation to nominal exposure concentrations </w:t>
      </w:r>
      <w:r w:rsidR="00432DAD" w:rsidRPr="00D93C78">
        <w:t xml:space="preserve">to </w:t>
      </w:r>
      <w:r w:rsidRPr="00D93C78">
        <w:t xml:space="preserve">mean analytical concentrations </w:t>
      </w:r>
      <w:r w:rsidR="00432DAD" w:rsidRPr="00D93C78">
        <w:t xml:space="preserve">of </w:t>
      </w:r>
      <w:r w:rsidR="0072795D" w:rsidRPr="00D93C78">
        <w:t>5.52, 3.59, 3.75, 1.09, and 4.10 mg/L</w:t>
      </w:r>
      <w:r w:rsidR="00432DAD" w:rsidRPr="00D93C78">
        <w:t xml:space="preserve"> exhibited signs of respiratory irritation (</w:t>
      </w:r>
      <w:r w:rsidRPr="00D93C78">
        <w:t xml:space="preserve">Nachreiner and Dodd, 1988).  </w:t>
      </w:r>
    </w:p>
    <w:p w:rsidR="00654229" w:rsidRPr="00D93C78" w:rsidRDefault="000A1E84" w:rsidP="00740E9A">
      <w:pPr>
        <w:pStyle w:val="BodyText"/>
        <w:spacing w:before="240"/>
        <w:rPr>
          <w:b/>
          <w:szCs w:val="24"/>
        </w:rPr>
      </w:pPr>
      <w:r w:rsidRPr="00D93C78">
        <w:rPr>
          <w:b/>
          <w:i/>
          <w:szCs w:val="24"/>
        </w:rPr>
        <w:t>Hydrolysis product</w:t>
      </w:r>
      <w:r w:rsidR="00266B55" w:rsidRPr="00D93C78">
        <w:rPr>
          <w:b/>
          <w:szCs w:val="24"/>
        </w:rPr>
        <w:t xml:space="preserve"> </w:t>
      </w:r>
    </w:p>
    <w:p w:rsidR="00C1433D" w:rsidRPr="00D93C78" w:rsidRDefault="00C1433D" w:rsidP="00D93C78">
      <w:pPr>
        <w:pStyle w:val="BodyText"/>
        <w:rPr>
          <w:szCs w:val="24"/>
        </w:rPr>
      </w:pPr>
      <w:r w:rsidRPr="00D93C78">
        <w:rPr>
          <w:b/>
          <w:szCs w:val="24"/>
        </w:rPr>
        <w:t>HCl</w:t>
      </w:r>
      <w:r w:rsidR="00D44F62" w:rsidRPr="00D93C78">
        <w:rPr>
          <w:b/>
          <w:szCs w:val="24"/>
        </w:rPr>
        <w:t>:</w:t>
      </w:r>
      <w:r w:rsidRPr="00D93C78">
        <w:rPr>
          <w:szCs w:val="24"/>
        </w:rPr>
        <w:t xml:space="preserve"> Animals died from respiratory failure (alveolar emphysema, atelectasis, and oedema of the lungs) shortly after acute inhalation exposure.</w:t>
      </w:r>
    </w:p>
    <w:p w:rsidR="00C1433D" w:rsidRPr="00D93C78" w:rsidRDefault="00C1433D" w:rsidP="00D93C78">
      <w:pPr>
        <w:pStyle w:val="Heading8"/>
        <w:jc w:val="both"/>
      </w:pPr>
      <w:r w:rsidRPr="00D93C78">
        <w:t>Conclusion</w:t>
      </w:r>
    </w:p>
    <w:p w:rsidR="002A254B" w:rsidRPr="00D93C78" w:rsidRDefault="00C84556" w:rsidP="00D93C78">
      <w:pPr>
        <w:pStyle w:val="BodyText"/>
        <w:rPr>
          <w:szCs w:val="24"/>
        </w:rPr>
      </w:pPr>
      <w:bookmarkStart w:id="122" w:name="_Toc32726032"/>
      <w:bookmarkStart w:id="123" w:name="_Toc32727215"/>
      <w:bookmarkStart w:id="124" w:name="_Toc43868663"/>
      <w:bookmarkStart w:id="125" w:name="_Toc200358251"/>
      <w:r w:rsidRPr="00D93C78">
        <w:rPr>
          <w:szCs w:val="24"/>
        </w:rPr>
        <w:t xml:space="preserve">Based on </w:t>
      </w:r>
      <w:r w:rsidR="005728C8" w:rsidRPr="00D93C78">
        <w:rPr>
          <w:szCs w:val="24"/>
        </w:rPr>
        <w:t>the results from</w:t>
      </w:r>
      <w:r w:rsidRPr="00D93C78">
        <w:rPr>
          <w:szCs w:val="24"/>
        </w:rPr>
        <w:t xml:space="preserve"> HCl, t</w:t>
      </w:r>
      <w:r w:rsidR="001F2A70" w:rsidRPr="00D93C78">
        <w:rPr>
          <w:szCs w:val="24"/>
        </w:rPr>
        <w:t xml:space="preserve">he sponsored substances are considered corrosive to the skin and </w:t>
      </w:r>
      <w:r w:rsidRPr="00D93C78">
        <w:rPr>
          <w:szCs w:val="24"/>
        </w:rPr>
        <w:t>eyes</w:t>
      </w:r>
      <w:r w:rsidR="005728C8" w:rsidRPr="00D93C78">
        <w:rPr>
          <w:szCs w:val="24"/>
        </w:rPr>
        <w:t>.  Vinyl chlorosilanes</w:t>
      </w:r>
      <w:r w:rsidRPr="00D93C78">
        <w:rPr>
          <w:szCs w:val="24"/>
        </w:rPr>
        <w:t xml:space="preserve"> </w:t>
      </w:r>
      <w:r w:rsidR="001F2A70" w:rsidRPr="00D93C78">
        <w:rPr>
          <w:szCs w:val="24"/>
        </w:rPr>
        <w:t xml:space="preserve">are </w:t>
      </w:r>
      <w:r w:rsidR="005728C8" w:rsidRPr="00D93C78">
        <w:rPr>
          <w:szCs w:val="24"/>
        </w:rPr>
        <w:t>considered</w:t>
      </w:r>
      <w:r w:rsidR="001F2A70" w:rsidRPr="00D93C78">
        <w:rPr>
          <w:szCs w:val="24"/>
        </w:rPr>
        <w:t xml:space="preserve"> respiratory tract irritants based on </w:t>
      </w:r>
      <w:r w:rsidR="005728C8" w:rsidRPr="00D93C78">
        <w:rPr>
          <w:szCs w:val="24"/>
        </w:rPr>
        <w:t xml:space="preserve">data from </w:t>
      </w:r>
      <w:r w:rsidR="001F2A70" w:rsidRPr="00D93C78">
        <w:rPr>
          <w:szCs w:val="24"/>
        </w:rPr>
        <w:t>acute inhalation toxicity studies</w:t>
      </w:r>
      <w:r w:rsidR="005728C8" w:rsidRPr="00D93C78">
        <w:rPr>
          <w:szCs w:val="24"/>
        </w:rPr>
        <w:t xml:space="preserve"> with HCl and the sponsored substances</w:t>
      </w:r>
      <w:r w:rsidR="001F2A70" w:rsidRPr="00D93C78">
        <w:rPr>
          <w:szCs w:val="24"/>
        </w:rPr>
        <w:t>.</w:t>
      </w:r>
    </w:p>
    <w:p w:rsidR="00C1433D" w:rsidRPr="00D93C78" w:rsidRDefault="00C1433D" w:rsidP="00D93C78">
      <w:pPr>
        <w:pStyle w:val="Heading3"/>
        <w:numPr>
          <w:ilvl w:val="0"/>
          <w:numId w:val="0"/>
        </w:numPr>
        <w:tabs>
          <w:tab w:val="clear" w:pos="2160"/>
        </w:tabs>
        <w:jc w:val="both"/>
        <w:rPr>
          <w:rFonts w:ascii="Times New Roman" w:hAnsi="Times New Roman"/>
          <w:szCs w:val="24"/>
        </w:rPr>
      </w:pPr>
      <w:bookmarkStart w:id="126" w:name="_Toc310335191"/>
      <w:r w:rsidRPr="00D93C78">
        <w:rPr>
          <w:rFonts w:ascii="Times New Roman" w:hAnsi="Times New Roman"/>
          <w:szCs w:val="24"/>
        </w:rPr>
        <w:t>3.1.4</w:t>
      </w:r>
      <w:r w:rsidRPr="00D93C78">
        <w:rPr>
          <w:rFonts w:ascii="Times New Roman" w:hAnsi="Times New Roman"/>
          <w:szCs w:val="24"/>
        </w:rPr>
        <w:tab/>
        <w:t>Sensitisation</w:t>
      </w:r>
      <w:bookmarkEnd w:id="122"/>
      <w:bookmarkEnd w:id="123"/>
      <w:bookmarkEnd w:id="124"/>
      <w:bookmarkEnd w:id="125"/>
      <w:bookmarkEnd w:id="126"/>
    </w:p>
    <w:p w:rsidR="00F34B13" w:rsidRPr="00D93C78" w:rsidRDefault="00D47DE1" w:rsidP="00D93C78">
      <w:pPr>
        <w:pStyle w:val="BodyText"/>
        <w:rPr>
          <w:szCs w:val="24"/>
        </w:rPr>
      </w:pPr>
      <w:r w:rsidRPr="00D93C78">
        <w:rPr>
          <w:szCs w:val="24"/>
        </w:rPr>
        <w:t xml:space="preserve">No data are available for the </w:t>
      </w:r>
      <w:r w:rsidR="009163B4" w:rsidRPr="00D93C78">
        <w:rPr>
          <w:szCs w:val="24"/>
        </w:rPr>
        <w:t>vinyl</w:t>
      </w:r>
      <w:r w:rsidR="00413FFD" w:rsidRPr="00D93C78">
        <w:rPr>
          <w:szCs w:val="24"/>
        </w:rPr>
        <w:t xml:space="preserve"> chlorosilanes</w:t>
      </w:r>
      <w:r w:rsidR="001D5773" w:rsidRPr="00D93C78">
        <w:rPr>
          <w:szCs w:val="24"/>
        </w:rPr>
        <w:t>.</w:t>
      </w:r>
    </w:p>
    <w:p w:rsidR="00C1433D" w:rsidRPr="00D93C78" w:rsidRDefault="00C1433D" w:rsidP="00D93C78">
      <w:pPr>
        <w:pStyle w:val="Heading3"/>
        <w:numPr>
          <w:ilvl w:val="0"/>
          <w:numId w:val="0"/>
        </w:numPr>
        <w:tabs>
          <w:tab w:val="clear" w:pos="2160"/>
        </w:tabs>
        <w:jc w:val="both"/>
        <w:rPr>
          <w:rFonts w:ascii="Times New Roman" w:hAnsi="Times New Roman"/>
          <w:szCs w:val="24"/>
        </w:rPr>
      </w:pPr>
      <w:bookmarkStart w:id="127" w:name="_Toc32726033"/>
      <w:bookmarkStart w:id="128" w:name="_Toc32727216"/>
      <w:bookmarkStart w:id="129" w:name="_Toc43868664"/>
      <w:bookmarkStart w:id="130" w:name="_Toc200358252"/>
      <w:bookmarkStart w:id="131" w:name="_Toc310335192"/>
      <w:r w:rsidRPr="00D93C78">
        <w:rPr>
          <w:rFonts w:ascii="Times New Roman" w:hAnsi="Times New Roman"/>
          <w:szCs w:val="24"/>
        </w:rPr>
        <w:t>3.1.5</w:t>
      </w:r>
      <w:r w:rsidRPr="00D93C78">
        <w:rPr>
          <w:rFonts w:ascii="Times New Roman" w:hAnsi="Times New Roman"/>
          <w:szCs w:val="24"/>
        </w:rPr>
        <w:tab/>
        <w:t>Repeated Dose Toxicity</w:t>
      </w:r>
      <w:bookmarkEnd w:id="127"/>
      <w:bookmarkEnd w:id="128"/>
      <w:bookmarkEnd w:id="129"/>
      <w:bookmarkEnd w:id="130"/>
      <w:bookmarkEnd w:id="131"/>
    </w:p>
    <w:p w:rsidR="002E3846" w:rsidRPr="00D93C78" w:rsidRDefault="00266B55" w:rsidP="00D93C78">
      <w:pPr>
        <w:pStyle w:val="BodyText"/>
        <w:rPr>
          <w:szCs w:val="24"/>
        </w:rPr>
      </w:pPr>
      <w:r w:rsidRPr="00D93C78">
        <w:rPr>
          <w:szCs w:val="24"/>
        </w:rPr>
        <w:t>R</w:t>
      </w:r>
      <w:r w:rsidR="00C1433D" w:rsidRPr="00D93C78">
        <w:rPr>
          <w:szCs w:val="24"/>
        </w:rPr>
        <w:t xml:space="preserve">epeated dose toxicity data for </w:t>
      </w:r>
      <w:r w:rsidR="00D47DE1" w:rsidRPr="00D93C78">
        <w:rPr>
          <w:szCs w:val="24"/>
        </w:rPr>
        <w:t xml:space="preserve">the </w:t>
      </w:r>
      <w:r w:rsidR="001E7AA5" w:rsidRPr="00D93C78">
        <w:rPr>
          <w:szCs w:val="24"/>
        </w:rPr>
        <w:t>vinyl</w:t>
      </w:r>
      <w:r w:rsidR="00413FFD" w:rsidRPr="00D93C78">
        <w:rPr>
          <w:szCs w:val="24"/>
        </w:rPr>
        <w:t xml:space="preserve"> chlorosilanes</w:t>
      </w:r>
      <w:r w:rsidR="007E7966" w:rsidRPr="00D93C78">
        <w:rPr>
          <w:szCs w:val="24"/>
        </w:rPr>
        <w:t xml:space="preserve"> </w:t>
      </w:r>
      <w:r w:rsidR="00C1433D" w:rsidRPr="00D93C78">
        <w:rPr>
          <w:szCs w:val="24"/>
        </w:rPr>
        <w:t xml:space="preserve">are not available. </w:t>
      </w:r>
      <w:r w:rsidRPr="00D93C78">
        <w:rPr>
          <w:szCs w:val="24"/>
        </w:rPr>
        <w:t xml:space="preserve">Repeated </w:t>
      </w:r>
      <w:r w:rsidR="005805DC" w:rsidRPr="00D93C78">
        <w:rPr>
          <w:szCs w:val="24"/>
        </w:rPr>
        <w:t>inhalation</w:t>
      </w:r>
      <w:r w:rsidRPr="00D93C78">
        <w:rPr>
          <w:szCs w:val="24"/>
        </w:rPr>
        <w:t xml:space="preserve"> </w:t>
      </w:r>
      <w:r w:rsidR="002E3846" w:rsidRPr="00D93C78">
        <w:rPr>
          <w:szCs w:val="24"/>
        </w:rPr>
        <w:t xml:space="preserve">and oral </w:t>
      </w:r>
      <w:r w:rsidRPr="00D93C78">
        <w:rPr>
          <w:szCs w:val="24"/>
        </w:rPr>
        <w:t xml:space="preserve">exposure to the </w:t>
      </w:r>
      <w:r w:rsidR="007E7966" w:rsidRPr="00D93C78">
        <w:rPr>
          <w:szCs w:val="24"/>
        </w:rPr>
        <w:t xml:space="preserve">supporting substance, </w:t>
      </w:r>
      <w:r w:rsidR="002E3846" w:rsidRPr="00D93C78">
        <w:rPr>
          <w:szCs w:val="24"/>
        </w:rPr>
        <w:t>VTMS</w:t>
      </w:r>
      <w:r w:rsidR="00B2196C" w:rsidRPr="00D93C78">
        <w:rPr>
          <w:szCs w:val="24"/>
        </w:rPr>
        <w:t xml:space="preserve">, </w:t>
      </w:r>
      <w:r w:rsidRPr="00D93C78">
        <w:rPr>
          <w:szCs w:val="24"/>
        </w:rPr>
        <w:t>as well as i</w:t>
      </w:r>
      <w:r w:rsidR="00C1433D" w:rsidRPr="00D93C78">
        <w:rPr>
          <w:szCs w:val="24"/>
        </w:rPr>
        <w:t>nhalation data for the hydrolysis product</w:t>
      </w:r>
      <w:r w:rsidRPr="00D93C78">
        <w:rPr>
          <w:szCs w:val="24"/>
        </w:rPr>
        <w:t>, HCl, are available</w:t>
      </w:r>
      <w:r w:rsidR="00C1433D" w:rsidRPr="00D93C78">
        <w:rPr>
          <w:szCs w:val="24"/>
        </w:rPr>
        <w:t>.</w:t>
      </w:r>
      <w:r w:rsidR="005805DC" w:rsidRPr="00D93C78">
        <w:rPr>
          <w:szCs w:val="24"/>
        </w:rPr>
        <w:t xml:space="preserve"> </w:t>
      </w:r>
      <w:r w:rsidR="00251F6A" w:rsidRPr="00D93C78">
        <w:rPr>
          <w:szCs w:val="24"/>
        </w:rPr>
        <w:t>HCl is a direct hydrolysis product of the sp</w:t>
      </w:r>
      <w:r w:rsidR="00913D0F" w:rsidRPr="00D93C78">
        <w:rPr>
          <w:szCs w:val="24"/>
        </w:rPr>
        <w:t>onsored substances however in aqueous systems, the supporting substances VTMS will generate methanol has a hydrolysis product. At the concentrations of this supporting substances tested, the contributions from the hydrolysis products is not clear however it is not considered to have had significant impact.  Methanol has been previously assessed in the OECD HPV SIDS Programme (</w:t>
      </w:r>
      <w:hyperlink r:id="rId36" w:history="1">
        <w:r w:rsidR="00913D0F" w:rsidRPr="00D93C78">
          <w:rPr>
            <w:rStyle w:val="Hyperlink"/>
            <w:sz w:val="24"/>
            <w:szCs w:val="24"/>
          </w:rPr>
          <w:t>http://webnet.oecd.org/HPV/UI/SIDS_Details.aspx?Key=3f0e5101-019d-4f22-b27c-69bebf217adb&amp;idx=0</w:t>
        </w:r>
      </w:hyperlink>
      <w:r w:rsidR="00913D0F" w:rsidRPr="00D93C78">
        <w:rPr>
          <w:szCs w:val="24"/>
        </w:rPr>
        <w:t xml:space="preserve">) </w:t>
      </w:r>
      <w:r w:rsidR="002E3846" w:rsidRPr="00D93C78">
        <w:rPr>
          <w:szCs w:val="24"/>
        </w:rPr>
        <w:t xml:space="preserve">The sponsored substances </w:t>
      </w:r>
      <w:r w:rsidR="009451E8" w:rsidRPr="00D93C78">
        <w:rPr>
          <w:szCs w:val="24"/>
        </w:rPr>
        <w:t xml:space="preserve">are expected to </w:t>
      </w:r>
      <w:r w:rsidR="002E3846" w:rsidRPr="00D93C78">
        <w:rPr>
          <w:szCs w:val="24"/>
        </w:rPr>
        <w:t>hydrolyze in contact with water, generating HCl and a silanol (vinylmethylsilanediol or vinylsilanetriol</w:t>
      </w:r>
      <w:r w:rsidR="00DC2E36" w:rsidRPr="00D93C78">
        <w:rPr>
          <w:szCs w:val="24"/>
        </w:rPr>
        <w:t>)</w:t>
      </w:r>
      <w:r w:rsidR="002E3846" w:rsidRPr="00D93C78">
        <w:rPr>
          <w:szCs w:val="24"/>
        </w:rPr>
        <w:t xml:space="preserve">. </w:t>
      </w:r>
      <w:r w:rsidR="00DC2E36" w:rsidRPr="00D93C78">
        <w:rPr>
          <w:szCs w:val="24"/>
        </w:rPr>
        <w:t>VTMS</w:t>
      </w:r>
      <w:r w:rsidR="002E3846" w:rsidRPr="00D93C78">
        <w:rPr>
          <w:szCs w:val="24"/>
        </w:rPr>
        <w:t xml:space="preserve"> hydrolyses more slowly at pH 7 (half-life &lt;2.4 hours at 50°C and pH7), but under acidic conditions such as in the stomach following ingestion, much more rapid hydrolysis </w:t>
      </w:r>
      <w:r w:rsidR="00DC2E36" w:rsidRPr="00D93C78">
        <w:rPr>
          <w:szCs w:val="24"/>
        </w:rPr>
        <w:t>(to methanol and vinylsilanetriol) may</w:t>
      </w:r>
      <w:r w:rsidR="002E3846" w:rsidRPr="00D93C78">
        <w:rPr>
          <w:szCs w:val="24"/>
        </w:rPr>
        <w:t xml:space="preserve"> be expected</w:t>
      </w:r>
      <w:r w:rsidR="0048370C" w:rsidRPr="00D93C78">
        <w:rPr>
          <w:szCs w:val="24"/>
        </w:rPr>
        <w:t xml:space="preserve"> (</w:t>
      </w:r>
      <w:r w:rsidR="00FB263E" w:rsidRPr="00D93C78">
        <w:rPr>
          <w:szCs w:val="24"/>
        </w:rPr>
        <w:t xml:space="preserve">hydrolysis half-life at pH 4 for VTMS </w:t>
      </w:r>
      <w:r w:rsidR="0048370C" w:rsidRPr="00D93C78">
        <w:rPr>
          <w:szCs w:val="24"/>
        </w:rPr>
        <w:t>&lt;</w:t>
      </w:r>
      <w:r w:rsidR="00FB263E" w:rsidRPr="00D93C78">
        <w:rPr>
          <w:szCs w:val="24"/>
        </w:rPr>
        <w:t xml:space="preserve"> </w:t>
      </w:r>
      <w:r w:rsidR="0048370C" w:rsidRPr="00D93C78">
        <w:rPr>
          <w:szCs w:val="24"/>
        </w:rPr>
        <w:t>10</w:t>
      </w:r>
      <w:r w:rsidR="00FB263E" w:rsidRPr="00D93C78">
        <w:rPr>
          <w:szCs w:val="24"/>
        </w:rPr>
        <w:t xml:space="preserve"> </w:t>
      </w:r>
      <w:r w:rsidR="0048370C" w:rsidRPr="00D93C78">
        <w:rPr>
          <w:szCs w:val="24"/>
        </w:rPr>
        <w:t>min)</w:t>
      </w:r>
      <w:r w:rsidR="002E3846" w:rsidRPr="00D93C78">
        <w:rPr>
          <w:szCs w:val="24"/>
        </w:rPr>
        <w:t>.</w:t>
      </w:r>
      <w:r w:rsidR="008F427D" w:rsidRPr="00D93C78">
        <w:rPr>
          <w:szCs w:val="24"/>
        </w:rPr>
        <w:t xml:space="preserve">  </w:t>
      </w:r>
    </w:p>
    <w:p w:rsidR="002E3846" w:rsidRPr="00D93C78" w:rsidRDefault="002E3846" w:rsidP="00D93C78">
      <w:pPr>
        <w:pStyle w:val="BodyText"/>
        <w:rPr>
          <w:szCs w:val="24"/>
        </w:rPr>
      </w:pPr>
      <w:r w:rsidRPr="00D93C78">
        <w:rPr>
          <w:szCs w:val="24"/>
        </w:rPr>
        <w:t xml:space="preserve">For the inhalation route, the hydrolysis rate of </w:t>
      </w:r>
      <w:r w:rsidR="00DC2E36" w:rsidRPr="00D93C78">
        <w:rPr>
          <w:szCs w:val="24"/>
        </w:rPr>
        <w:t>VTMS</w:t>
      </w:r>
      <w:r w:rsidRPr="00D93C78">
        <w:rPr>
          <w:szCs w:val="24"/>
        </w:rPr>
        <w:t xml:space="preserve"> in the respiratory tract and lungs is unknown, but is likely to be slower than that of </w:t>
      </w:r>
      <w:r w:rsidR="00DC2E36" w:rsidRPr="00D93C78">
        <w:rPr>
          <w:szCs w:val="24"/>
        </w:rPr>
        <w:t>the sponsored substances</w:t>
      </w:r>
      <w:r w:rsidRPr="00D93C78">
        <w:rPr>
          <w:szCs w:val="24"/>
        </w:rPr>
        <w:t xml:space="preserve">. For </w:t>
      </w:r>
      <w:r w:rsidR="00DC2E36" w:rsidRPr="00D93C78">
        <w:rPr>
          <w:szCs w:val="24"/>
        </w:rPr>
        <w:t>the sponsored substances</w:t>
      </w:r>
      <w:r w:rsidRPr="00D93C78">
        <w:rPr>
          <w:szCs w:val="24"/>
        </w:rPr>
        <w:t>, the species absorbed following inhalation exposure are</w:t>
      </w:r>
      <w:r w:rsidR="00DC2E36" w:rsidRPr="00D93C78">
        <w:rPr>
          <w:szCs w:val="24"/>
        </w:rPr>
        <w:t xml:space="preserve"> expected to be</w:t>
      </w:r>
      <w:r w:rsidRPr="00D93C78">
        <w:rPr>
          <w:szCs w:val="24"/>
        </w:rPr>
        <w:t xml:space="preserve"> mainly hydrolysis products, whereas for </w:t>
      </w:r>
      <w:r w:rsidR="00DC2E36" w:rsidRPr="00D93C78">
        <w:rPr>
          <w:szCs w:val="24"/>
        </w:rPr>
        <w:t>VTMS</w:t>
      </w:r>
      <w:r w:rsidRPr="00D93C78">
        <w:rPr>
          <w:szCs w:val="24"/>
        </w:rPr>
        <w:t xml:space="preserve">, absorption of the parent substance may be more significant. </w:t>
      </w:r>
      <w:r w:rsidR="00DC2E36" w:rsidRPr="00D93C78">
        <w:rPr>
          <w:szCs w:val="24"/>
        </w:rPr>
        <w:t>VTMS</w:t>
      </w:r>
      <w:r w:rsidRPr="00D93C78">
        <w:rPr>
          <w:szCs w:val="24"/>
        </w:rPr>
        <w:t xml:space="preserve"> has a higher log Kow</w:t>
      </w:r>
      <w:r w:rsidR="00DC2E36" w:rsidRPr="00D93C78">
        <w:rPr>
          <w:szCs w:val="24"/>
        </w:rPr>
        <w:t xml:space="preserve"> </w:t>
      </w:r>
      <w:r w:rsidRPr="00D93C78">
        <w:rPr>
          <w:szCs w:val="24"/>
        </w:rPr>
        <w:t>value</w:t>
      </w:r>
      <w:r w:rsidR="009451E8" w:rsidRPr="00D93C78">
        <w:rPr>
          <w:szCs w:val="24"/>
        </w:rPr>
        <w:t>;</w:t>
      </w:r>
      <w:r w:rsidRPr="00D93C78">
        <w:rPr>
          <w:szCs w:val="24"/>
        </w:rPr>
        <w:t xml:space="preserve"> therefore the proportion of inhaled material </w:t>
      </w:r>
      <w:r w:rsidR="009451E8" w:rsidRPr="00D93C78">
        <w:rPr>
          <w:szCs w:val="24"/>
        </w:rPr>
        <w:t xml:space="preserve">that </w:t>
      </w:r>
      <w:r w:rsidRPr="00D93C78">
        <w:rPr>
          <w:szCs w:val="24"/>
        </w:rPr>
        <w:t xml:space="preserve">is systemically absorbed is likely to be greater than for </w:t>
      </w:r>
      <w:r w:rsidR="00DC2E36" w:rsidRPr="00D93C78">
        <w:rPr>
          <w:szCs w:val="24"/>
        </w:rPr>
        <w:t>the sponsored substances</w:t>
      </w:r>
      <w:r w:rsidRPr="00D93C78">
        <w:rPr>
          <w:szCs w:val="24"/>
        </w:rPr>
        <w:t xml:space="preserve">. Nevertheless, in the absence of other data, the </w:t>
      </w:r>
      <w:r w:rsidR="00DC2E36" w:rsidRPr="00D93C78">
        <w:rPr>
          <w:szCs w:val="24"/>
        </w:rPr>
        <w:t>inhalation</w:t>
      </w:r>
      <w:r w:rsidRPr="00D93C78">
        <w:rPr>
          <w:szCs w:val="24"/>
        </w:rPr>
        <w:t xml:space="preserve"> NOAEL for</w:t>
      </w:r>
      <w:r w:rsidR="00DC2E36" w:rsidRPr="00D93C78">
        <w:rPr>
          <w:szCs w:val="24"/>
        </w:rPr>
        <w:t xml:space="preserve"> VTMS</w:t>
      </w:r>
      <w:r w:rsidRPr="00D93C78">
        <w:rPr>
          <w:szCs w:val="24"/>
        </w:rPr>
        <w:t xml:space="preserve"> is considered to represent a reasonable read-across </w:t>
      </w:r>
      <w:r w:rsidR="00DC2E36" w:rsidRPr="00D93C78">
        <w:rPr>
          <w:szCs w:val="24"/>
        </w:rPr>
        <w:t>for the hydrolysis products of</w:t>
      </w:r>
      <w:r w:rsidRPr="00D93C78">
        <w:rPr>
          <w:szCs w:val="24"/>
        </w:rPr>
        <w:t xml:space="preserve"> </w:t>
      </w:r>
      <w:r w:rsidR="00DC2E36" w:rsidRPr="00D93C78">
        <w:rPr>
          <w:szCs w:val="24"/>
        </w:rPr>
        <w:t>the sponsored substances</w:t>
      </w:r>
      <w:r w:rsidRPr="00D93C78">
        <w:rPr>
          <w:szCs w:val="24"/>
        </w:rPr>
        <w:t>.</w:t>
      </w:r>
    </w:p>
    <w:p w:rsidR="00C1433D" w:rsidRPr="00D93C78" w:rsidRDefault="005805DC" w:rsidP="00D93C78">
      <w:pPr>
        <w:pStyle w:val="BodyText"/>
        <w:rPr>
          <w:szCs w:val="24"/>
        </w:rPr>
      </w:pPr>
      <w:r w:rsidRPr="00D93C78">
        <w:rPr>
          <w:szCs w:val="24"/>
        </w:rPr>
        <w:t xml:space="preserve">The data are summarized in Table </w:t>
      </w:r>
      <w:r w:rsidR="00C02AE0" w:rsidRPr="00D93C78">
        <w:rPr>
          <w:szCs w:val="24"/>
        </w:rPr>
        <w:t>1</w:t>
      </w:r>
      <w:r w:rsidR="009451E8" w:rsidRPr="00D93C78">
        <w:rPr>
          <w:szCs w:val="24"/>
        </w:rPr>
        <w:t>1</w:t>
      </w:r>
      <w:r w:rsidRPr="00D93C78">
        <w:rPr>
          <w:szCs w:val="24"/>
        </w:rPr>
        <w:t>.</w:t>
      </w:r>
    </w:p>
    <w:p w:rsidR="00C1433D" w:rsidRPr="00D93C78" w:rsidRDefault="00C1433D" w:rsidP="00D93C78">
      <w:pPr>
        <w:pStyle w:val="Heading8"/>
        <w:jc w:val="both"/>
      </w:pPr>
      <w:r w:rsidRPr="00D93C78">
        <w:t>Studies in Animals</w:t>
      </w:r>
    </w:p>
    <w:p w:rsidR="00C1433D" w:rsidRPr="00D93C78" w:rsidRDefault="00C1433D" w:rsidP="00D93C78">
      <w:pPr>
        <w:pStyle w:val="Heading9"/>
        <w:jc w:val="both"/>
      </w:pPr>
      <w:r w:rsidRPr="00D93C78">
        <w:t>Inhalation</w:t>
      </w:r>
    </w:p>
    <w:p w:rsidR="009F7F30" w:rsidRPr="00D93C78" w:rsidRDefault="009F7F30" w:rsidP="00D93C78">
      <w:pPr>
        <w:pStyle w:val="BodyText"/>
        <w:rPr>
          <w:b/>
          <w:szCs w:val="24"/>
        </w:rPr>
      </w:pPr>
      <w:r w:rsidRPr="00D93C78">
        <w:rPr>
          <w:b/>
          <w:szCs w:val="24"/>
        </w:rPr>
        <w:t>Supporting</w:t>
      </w:r>
      <w:r w:rsidR="005805DC" w:rsidRPr="00D93C78">
        <w:rPr>
          <w:b/>
          <w:szCs w:val="24"/>
        </w:rPr>
        <w:t xml:space="preserve"> substance: </w:t>
      </w:r>
    </w:p>
    <w:p w:rsidR="007877D7" w:rsidRPr="00D93C78" w:rsidRDefault="003E42AD" w:rsidP="00D93C78">
      <w:pPr>
        <w:jc w:val="both"/>
        <w:rPr>
          <w:b/>
        </w:rPr>
      </w:pPr>
      <w:r w:rsidRPr="00D93C78">
        <w:rPr>
          <w:b/>
        </w:rPr>
        <w:t>V</w:t>
      </w:r>
      <w:r w:rsidR="007877D7" w:rsidRPr="00D93C78">
        <w:rPr>
          <w:b/>
        </w:rPr>
        <w:t>TMS</w:t>
      </w:r>
      <w:r w:rsidR="00D44F62" w:rsidRPr="00D93C78">
        <w:rPr>
          <w:b/>
        </w:rPr>
        <w:t>:</w:t>
      </w:r>
      <w:r w:rsidR="007877D7" w:rsidRPr="00D93C78">
        <w:t xml:space="preserve"> </w:t>
      </w:r>
      <w:r w:rsidRPr="00D93C78">
        <w:t xml:space="preserve">Groups of 20 rats/sex/concentration were exposed </w:t>
      </w:r>
      <w:r w:rsidR="00536EA4" w:rsidRPr="00D93C78">
        <w:t xml:space="preserve">via whole body exposure for </w:t>
      </w:r>
      <w:r w:rsidRPr="00D93C78">
        <w:t xml:space="preserve">six hours per day, five days per week, for 14 weeks to vapor of VTMS at target concentrations of 0, 0.06, 0.6 or 2.4 mg/L, respectively. Repeated inhalation exposure to </w:t>
      </w:r>
      <w:r w:rsidR="00466A9B" w:rsidRPr="00D93C78">
        <w:t>2.4 mg/L</w:t>
      </w:r>
      <w:r w:rsidRPr="00D93C78">
        <w:t xml:space="preserve"> VTMS resulted in effects primarily on the urinary bladder and kidney with the LOAEC of 0.6 mg/L and the NOAEC of 0.06 mg/L</w:t>
      </w:r>
      <w:r w:rsidR="007F06F1" w:rsidRPr="00D93C78">
        <w:t xml:space="preserve"> (</w:t>
      </w:r>
      <w:hyperlink r:id="rId37" w:history="1">
        <w:r w:rsidR="00C62D6F" w:rsidRPr="00D93C78">
          <w:rPr>
            <w:rStyle w:val="Hyperlink"/>
            <w:sz w:val="24"/>
          </w:rPr>
          <w:t>http://www.oecd.org/env/hazard/data</w:t>
        </w:r>
      </w:hyperlink>
      <w:r w:rsidR="007F06F1" w:rsidRPr="00D93C78">
        <w:t>)</w:t>
      </w:r>
      <w:r w:rsidRPr="00D93C78">
        <w:t xml:space="preserve">. </w:t>
      </w:r>
    </w:p>
    <w:p w:rsidR="003E42AD" w:rsidRPr="00D93C78" w:rsidRDefault="003E42AD" w:rsidP="00D93C78">
      <w:pPr>
        <w:pStyle w:val="BodyText"/>
        <w:rPr>
          <w:b/>
          <w:szCs w:val="24"/>
        </w:rPr>
      </w:pPr>
    </w:p>
    <w:p w:rsidR="007877D7" w:rsidRPr="00D93C78" w:rsidRDefault="00266B55" w:rsidP="00D93C78">
      <w:pPr>
        <w:pStyle w:val="BodyText"/>
        <w:rPr>
          <w:b/>
          <w:szCs w:val="24"/>
        </w:rPr>
      </w:pPr>
      <w:r w:rsidRPr="00D93C78">
        <w:rPr>
          <w:b/>
          <w:szCs w:val="24"/>
        </w:rPr>
        <w:t xml:space="preserve">Hydrolysis product: </w:t>
      </w:r>
    </w:p>
    <w:p w:rsidR="00C1433D" w:rsidRPr="00D93C78" w:rsidRDefault="00C1433D" w:rsidP="00D93C78">
      <w:pPr>
        <w:pStyle w:val="BodyText"/>
        <w:rPr>
          <w:szCs w:val="24"/>
        </w:rPr>
      </w:pPr>
      <w:r w:rsidRPr="00D93C78">
        <w:rPr>
          <w:b/>
          <w:szCs w:val="24"/>
        </w:rPr>
        <w:t>HCl</w:t>
      </w:r>
      <w:r w:rsidR="00D44F62" w:rsidRPr="00D93C78">
        <w:rPr>
          <w:b/>
          <w:szCs w:val="24"/>
        </w:rPr>
        <w:t>:</w:t>
      </w:r>
      <w:r w:rsidRPr="00D93C78">
        <w:rPr>
          <w:szCs w:val="24"/>
        </w:rPr>
        <w:t xml:space="preserve"> Several 90-day repeated dose inhalation toxicity studies, compliant with FDA-GLP, have been conducted resulting </w:t>
      </w:r>
      <w:r w:rsidR="00266B55" w:rsidRPr="00D93C78">
        <w:rPr>
          <w:szCs w:val="24"/>
        </w:rPr>
        <w:t>in local</w:t>
      </w:r>
      <w:r w:rsidRPr="00D93C78">
        <w:rPr>
          <w:szCs w:val="24"/>
        </w:rPr>
        <w:t xml:space="preserve"> effects of irritation in groups of 0.015 mg/L and above.  The NOAELs have been determined to be 0.030 mg/L for rats and mice.</w:t>
      </w:r>
    </w:p>
    <w:p w:rsidR="00C1433D" w:rsidRPr="00D93C78" w:rsidRDefault="00C1433D" w:rsidP="00D93C78">
      <w:pPr>
        <w:pStyle w:val="Heading9"/>
        <w:jc w:val="both"/>
      </w:pPr>
      <w:r w:rsidRPr="00D93C78">
        <w:t>Oral</w:t>
      </w:r>
    </w:p>
    <w:p w:rsidR="00EB1A4D" w:rsidRPr="00D93C78" w:rsidRDefault="00EB1A4D" w:rsidP="00D93C78">
      <w:pPr>
        <w:pStyle w:val="BodyText"/>
        <w:rPr>
          <w:b/>
          <w:szCs w:val="24"/>
        </w:rPr>
      </w:pPr>
      <w:r w:rsidRPr="00D93C78">
        <w:rPr>
          <w:b/>
          <w:szCs w:val="24"/>
        </w:rPr>
        <w:t xml:space="preserve">Supporting substance: </w:t>
      </w:r>
    </w:p>
    <w:p w:rsidR="007877D7" w:rsidRPr="00D93C78" w:rsidRDefault="003E42AD" w:rsidP="00D93C78">
      <w:pPr>
        <w:jc w:val="both"/>
        <w:rPr>
          <w:b/>
        </w:rPr>
      </w:pPr>
      <w:r w:rsidRPr="00D93C78">
        <w:rPr>
          <w:b/>
        </w:rPr>
        <w:t>V</w:t>
      </w:r>
      <w:r w:rsidR="007877D7" w:rsidRPr="00D93C78">
        <w:rPr>
          <w:b/>
        </w:rPr>
        <w:t>TMS</w:t>
      </w:r>
      <w:r w:rsidR="00D44F62" w:rsidRPr="00D93C78">
        <w:rPr>
          <w:b/>
        </w:rPr>
        <w:t>:</w:t>
      </w:r>
      <w:r w:rsidR="007877D7" w:rsidRPr="00D93C78">
        <w:t xml:space="preserve"> </w:t>
      </w:r>
      <w:r w:rsidRPr="00D93C78">
        <w:t>In a combined repeated-dose/reproductive/developmental toxicity screening test [OECD TG 422], male and female rats were administered VTMS via gavage at 62.5, 250 and 1000 mg/kg bw/day for up to 42 days. Repeated oral exposure to VTMS resulted in effects primarily on the urinary bladder, intestine, kidney, and thymus in both sexes at all doses. The NOAEL was not established in this study. The LOAEL was 62.5 mg/kg bw/day (decreased urine osmolality and sodium, potassium and chloride concentrations (males) and slight decrease in body weight and body weight gain (females)</w:t>
      </w:r>
      <w:r w:rsidR="007F06F1" w:rsidRPr="00D93C78">
        <w:t xml:space="preserve"> (</w:t>
      </w:r>
      <w:hyperlink r:id="rId38" w:history="1">
        <w:r w:rsidR="00C62D6F" w:rsidRPr="00D93C78">
          <w:rPr>
            <w:rStyle w:val="Hyperlink"/>
            <w:sz w:val="24"/>
          </w:rPr>
          <w:t>http://www.oecd.org/env/hazard/data</w:t>
        </w:r>
      </w:hyperlink>
      <w:r w:rsidR="007F06F1" w:rsidRPr="00D93C78">
        <w:t>)</w:t>
      </w:r>
      <w:r w:rsidRPr="00D93C78">
        <w:t>.</w:t>
      </w:r>
    </w:p>
    <w:p w:rsidR="00266B55" w:rsidRPr="00D93C78" w:rsidRDefault="00740E9A" w:rsidP="00D93C78">
      <w:pPr>
        <w:pStyle w:val="Caption"/>
        <w:ind w:left="0"/>
        <w:jc w:val="both"/>
        <w:rPr>
          <w:rFonts w:ascii="Times New Roman" w:hAnsi="Times New Roman"/>
          <w:szCs w:val="24"/>
        </w:rPr>
      </w:pPr>
      <w:bookmarkStart w:id="132" w:name="_Toc215388976"/>
      <w:bookmarkStart w:id="133" w:name="_Toc310335211"/>
      <w:r>
        <w:rPr>
          <w:rFonts w:ascii="Times New Roman" w:hAnsi="Times New Roman"/>
          <w:szCs w:val="24"/>
        </w:rPr>
        <w:t xml:space="preserve"> </w:t>
      </w:r>
      <w:r w:rsidR="00266B55" w:rsidRPr="00D93C78">
        <w:rPr>
          <w:rFonts w:ascii="Times New Roman" w:hAnsi="Times New Roman"/>
          <w:szCs w:val="24"/>
        </w:rPr>
        <w:t xml:space="preserve">Table </w:t>
      </w:r>
      <w:r w:rsidR="00C02AE0" w:rsidRPr="00D93C78">
        <w:rPr>
          <w:rFonts w:ascii="Times New Roman" w:hAnsi="Times New Roman"/>
          <w:szCs w:val="24"/>
        </w:rPr>
        <w:t>1</w:t>
      </w:r>
      <w:r w:rsidR="009451E8" w:rsidRPr="00D93C78">
        <w:rPr>
          <w:rFonts w:ascii="Times New Roman" w:hAnsi="Times New Roman"/>
          <w:szCs w:val="24"/>
        </w:rPr>
        <w:t>1</w:t>
      </w:r>
      <w:r w:rsidR="00266B55" w:rsidRPr="00D93C78">
        <w:rPr>
          <w:rFonts w:ascii="Times New Roman" w:hAnsi="Times New Roman"/>
          <w:szCs w:val="24"/>
        </w:rPr>
        <w:t xml:space="preserve">   Summary of Repeated-Dose Toxicity</w:t>
      </w:r>
      <w:bookmarkEnd w:id="132"/>
      <w:bookmarkEnd w:id="133"/>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2367"/>
        <w:gridCol w:w="1349"/>
        <w:gridCol w:w="1888"/>
        <w:gridCol w:w="1708"/>
        <w:gridCol w:w="2247"/>
      </w:tblGrid>
      <w:tr w:rsidR="006177D1" w:rsidRPr="00D93C78" w:rsidTr="00F1532E">
        <w:trPr>
          <w:trHeight w:val="408"/>
        </w:trPr>
        <w:tc>
          <w:tcPr>
            <w:tcW w:w="2370" w:type="dxa"/>
            <w:tcBorders>
              <w:top w:val="single" w:sz="12" w:space="0" w:color="auto"/>
              <w:bottom w:val="single" w:sz="12" w:space="0" w:color="auto"/>
            </w:tcBorders>
          </w:tcPr>
          <w:p w:rsidR="006177D1" w:rsidRPr="00CB3176" w:rsidRDefault="006177D1" w:rsidP="00CB3176">
            <w:pPr>
              <w:pStyle w:val="MSDS-TUZeile"/>
              <w:ind w:left="0"/>
              <w:jc w:val="center"/>
              <w:rPr>
                <w:rFonts w:ascii="Times New Roman" w:hAnsi="Times New Roman" w:cs="Times New Roman"/>
                <w:b/>
                <w:lang w:val="en-US"/>
              </w:rPr>
            </w:pPr>
            <w:r w:rsidRPr="00CB3176">
              <w:rPr>
                <w:rFonts w:ascii="Times New Roman" w:hAnsi="Times New Roman" w:cs="Times New Roman"/>
                <w:b/>
                <w:lang w:val="en-US"/>
              </w:rPr>
              <w:t>Species/study type</w:t>
            </w:r>
          </w:p>
        </w:tc>
        <w:tc>
          <w:tcPr>
            <w:tcW w:w="1350" w:type="dxa"/>
            <w:tcBorders>
              <w:top w:val="single" w:sz="12" w:space="0" w:color="auto"/>
              <w:bottom w:val="single" w:sz="12" w:space="0" w:color="auto"/>
            </w:tcBorders>
          </w:tcPr>
          <w:p w:rsidR="006177D1" w:rsidRPr="00CB3176" w:rsidRDefault="006177D1" w:rsidP="00CB3176">
            <w:pPr>
              <w:pStyle w:val="MSDS-TUZeile"/>
              <w:ind w:left="0"/>
              <w:jc w:val="center"/>
              <w:rPr>
                <w:rFonts w:ascii="Times New Roman" w:hAnsi="Times New Roman" w:cs="Times New Roman"/>
                <w:b/>
                <w:lang w:val="en-US"/>
              </w:rPr>
            </w:pPr>
            <w:r w:rsidRPr="00CB3176">
              <w:rPr>
                <w:rFonts w:ascii="Times New Roman" w:hAnsi="Times New Roman" w:cs="Times New Roman"/>
                <w:b/>
                <w:lang w:val="en-US"/>
              </w:rPr>
              <w:t>Study duration</w:t>
            </w:r>
          </w:p>
        </w:tc>
        <w:tc>
          <w:tcPr>
            <w:tcW w:w="1890" w:type="dxa"/>
            <w:tcBorders>
              <w:top w:val="single" w:sz="12" w:space="0" w:color="auto"/>
              <w:bottom w:val="single" w:sz="12" w:space="0" w:color="auto"/>
            </w:tcBorders>
          </w:tcPr>
          <w:p w:rsidR="006177D1" w:rsidRPr="00CB3176" w:rsidRDefault="006177D1" w:rsidP="00CB3176">
            <w:pPr>
              <w:pStyle w:val="MSDS-TUZeile"/>
              <w:ind w:left="0"/>
              <w:jc w:val="center"/>
              <w:rPr>
                <w:rFonts w:ascii="Times New Roman" w:hAnsi="Times New Roman" w:cs="Times New Roman"/>
                <w:b/>
                <w:lang w:val="en-US"/>
              </w:rPr>
            </w:pPr>
            <w:r w:rsidRPr="00CB3176">
              <w:rPr>
                <w:rFonts w:ascii="Times New Roman" w:hAnsi="Times New Roman" w:cs="Times New Roman"/>
                <w:b/>
                <w:lang w:val="en-US"/>
              </w:rPr>
              <w:t>Doses/ concentrations</w:t>
            </w:r>
          </w:p>
        </w:tc>
        <w:tc>
          <w:tcPr>
            <w:tcW w:w="1710" w:type="dxa"/>
            <w:tcBorders>
              <w:top w:val="single" w:sz="12" w:space="0" w:color="auto"/>
              <w:bottom w:val="single" w:sz="12" w:space="0" w:color="auto"/>
            </w:tcBorders>
          </w:tcPr>
          <w:p w:rsidR="006177D1" w:rsidRPr="00CB3176" w:rsidRDefault="006177D1" w:rsidP="00CB3176">
            <w:pPr>
              <w:pStyle w:val="MSDS-TUZeile"/>
              <w:ind w:left="0"/>
              <w:jc w:val="center"/>
              <w:rPr>
                <w:rFonts w:ascii="Times New Roman" w:hAnsi="Times New Roman" w:cs="Times New Roman"/>
                <w:b/>
                <w:lang w:val="en-US"/>
              </w:rPr>
            </w:pPr>
            <w:r w:rsidRPr="00CB3176">
              <w:rPr>
                <w:rFonts w:ascii="Times New Roman" w:hAnsi="Times New Roman" w:cs="Times New Roman"/>
                <w:b/>
                <w:lang w:val="en-US"/>
              </w:rPr>
              <w:t>NOAEL/C</w:t>
            </w:r>
          </w:p>
        </w:tc>
        <w:tc>
          <w:tcPr>
            <w:tcW w:w="2250" w:type="dxa"/>
            <w:tcBorders>
              <w:top w:val="single" w:sz="12" w:space="0" w:color="auto"/>
              <w:bottom w:val="single" w:sz="12" w:space="0" w:color="auto"/>
            </w:tcBorders>
          </w:tcPr>
          <w:p w:rsidR="006177D1" w:rsidRPr="00CB3176" w:rsidRDefault="006177D1" w:rsidP="00CB3176">
            <w:pPr>
              <w:pStyle w:val="MSDS-TUZeile"/>
              <w:ind w:left="0"/>
              <w:jc w:val="center"/>
              <w:rPr>
                <w:rFonts w:ascii="Times New Roman" w:hAnsi="Times New Roman" w:cs="Times New Roman"/>
                <w:b/>
                <w:lang w:val="en-US"/>
              </w:rPr>
            </w:pPr>
            <w:r w:rsidRPr="00CB3176">
              <w:rPr>
                <w:rFonts w:ascii="Times New Roman" w:hAnsi="Times New Roman" w:cs="Times New Roman"/>
                <w:b/>
                <w:lang w:val="en-US"/>
              </w:rPr>
              <w:t>Reference</w:t>
            </w:r>
          </w:p>
        </w:tc>
      </w:tr>
      <w:tr w:rsidR="00B70C2B" w:rsidRPr="00D93C78" w:rsidTr="00F1532E">
        <w:tc>
          <w:tcPr>
            <w:tcW w:w="9570" w:type="dxa"/>
            <w:gridSpan w:val="5"/>
            <w:tcBorders>
              <w:top w:val="single" w:sz="12" w:space="0" w:color="auto"/>
              <w:bottom w:val="single" w:sz="6" w:space="0" w:color="auto"/>
            </w:tcBorders>
          </w:tcPr>
          <w:p w:rsidR="00B70C2B" w:rsidRPr="00CB3176" w:rsidRDefault="00B70C2B" w:rsidP="00CB3176">
            <w:pPr>
              <w:pStyle w:val="MSDS-TUZeile"/>
              <w:ind w:left="0"/>
              <w:jc w:val="center"/>
              <w:rPr>
                <w:rFonts w:ascii="Times New Roman" w:hAnsi="Times New Roman" w:cs="Times New Roman"/>
                <w:b/>
              </w:rPr>
            </w:pPr>
            <w:r w:rsidRPr="00CB3176">
              <w:rPr>
                <w:rFonts w:ascii="Times New Roman" w:hAnsi="Times New Roman" w:cs="Times New Roman"/>
                <w:b/>
              </w:rPr>
              <w:t>Supporting substance</w:t>
            </w:r>
          </w:p>
        </w:tc>
      </w:tr>
      <w:tr w:rsidR="006177D1" w:rsidRPr="00D93C78" w:rsidTr="00F1532E">
        <w:tc>
          <w:tcPr>
            <w:tcW w:w="9570" w:type="dxa"/>
            <w:gridSpan w:val="5"/>
            <w:tcBorders>
              <w:top w:val="single" w:sz="6" w:space="0" w:color="auto"/>
            </w:tcBorders>
          </w:tcPr>
          <w:p w:rsidR="006177D1" w:rsidRPr="00CB3176" w:rsidRDefault="003E42AD" w:rsidP="00CB3176">
            <w:pPr>
              <w:pStyle w:val="MSDS-TUZeile"/>
              <w:ind w:left="0"/>
              <w:jc w:val="center"/>
              <w:rPr>
                <w:rFonts w:ascii="Times New Roman" w:hAnsi="Times New Roman" w:cs="Times New Roman"/>
              </w:rPr>
            </w:pPr>
            <w:r w:rsidRPr="00CB3176">
              <w:rPr>
                <w:rFonts w:ascii="Times New Roman" w:hAnsi="Times New Roman" w:cs="Times New Roman"/>
                <w:b/>
              </w:rPr>
              <w:t>V</w:t>
            </w:r>
            <w:r w:rsidR="007877D7" w:rsidRPr="00CB3176">
              <w:rPr>
                <w:rFonts w:ascii="Times New Roman" w:hAnsi="Times New Roman" w:cs="Times New Roman"/>
                <w:b/>
              </w:rPr>
              <w:t>TMS</w:t>
            </w:r>
          </w:p>
        </w:tc>
      </w:tr>
      <w:tr w:rsidR="003E42AD" w:rsidRPr="009F0C77" w:rsidTr="00CB3176">
        <w:tc>
          <w:tcPr>
            <w:tcW w:w="2370" w:type="dxa"/>
          </w:tcPr>
          <w:p w:rsidR="003E42AD" w:rsidRPr="00CB3176" w:rsidRDefault="003E42AD" w:rsidP="00CB3176">
            <w:pPr>
              <w:pStyle w:val="MSDS-TUZeile"/>
              <w:ind w:left="0"/>
              <w:jc w:val="center"/>
              <w:rPr>
                <w:rFonts w:ascii="Times New Roman" w:hAnsi="Times New Roman" w:cs="Times New Roman"/>
                <w:lang w:val="en-US"/>
              </w:rPr>
            </w:pPr>
            <w:r w:rsidRPr="00CB3176">
              <w:rPr>
                <w:rFonts w:ascii="Times New Roman" w:hAnsi="Times New Roman" w:cs="Times New Roman"/>
                <w:lang w:val="en-US"/>
              </w:rPr>
              <w:t>Rat /OECD 422/oral</w:t>
            </w:r>
          </w:p>
        </w:tc>
        <w:tc>
          <w:tcPr>
            <w:tcW w:w="1350" w:type="dxa"/>
          </w:tcPr>
          <w:p w:rsidR="003E42AD" w:rsidRPr="00CB3176" w:rsidRDefault="003E42AD" w:rsidP="00CB3176">
            <w:pPr>
              <w:pStyle w:val="MSDS-TUZeile"/>
              <w:ind w:left="0"/>
              <w:jc w:val="center"/>
              <w:rPr>
                <w:rFonts w:ascii="Times New Roman" w:hAnsi="Times New Roman" w:cs="Times New Roman"/>
                <w:lang w:val="nl-NL"/>
              </w:rPr>
            </w:pPr>
            <w:r w:rsidRPr="00CB3176">
              <w:rPr>
                <w:rFonts w:ascii="Times New Roman" w:hAnsi="Times New Roman" w:cs="Times New Roman"/>
                <w:lang w:val="nl-NL"/>
              </w:rPr>
              <w:t>Males: 28 d</w:t>
            </w:r>
          </w:p>
          <w:p w:rsidR="003E42AD" w:rsidRPr="00CB3176" w:rsidRDefault="003E42AD" w:rsidP="00CB3176">
            <w:pPr>
              <w:pStyle w:val="MSDS-TUZeile"/>
              <w:ind w:left="0"/>
              <w:jc w:val="center"/>
              <w:rPr>
                <w:rFonts w:ascii="Times New Roman" w:hAnsi="Times New Roman" w:cs="Times New Roman"/>
                <w:lang w:val="en-US"/>
              </w:rPr>
            </w:pPr>
            <w:r w:rsidRPr="00CB3176">
              <w:rPr>
                <w:rFonts w:ascii="Times New Roman" w:hAnsi="Times New Roman" w:cs="Times New Roman"/>
                <w:lang w:val="nl-NL"/>
              </w:rPr>
              <w:t xml:space="preserve">Females; up to </w:t>
            </w:r>
            <w:r w:rsidR="00443442" w:rsidRPr="00CB3176">
              <w:rPr>
                <w:rFonts w:ascii="Times New Roman" w:hAnsi="Times New Roman" w:cs="Times New Roman"/>
                <w:lang w:val="nl-NL"/>
              </w:rPr>
              <w:t xml:space="preserve">42 </w:t>
            </w:r>
            <w:r w:rsidRPr="00CB3176">
              <w:rPr>
                <w:rFonts w:ascii="Times New Roman" w:hAnsi="Times New Roman" w:cs="Times New Roman"/>
                <w:lang w:val="nl-NL"/>
              </w:rPr>
              <w:t>d</w:t>
            </w:r>
          </w:p>
        </w:tc>
        <w:tc>
          <w:tcPr>
            <w:tcW w:w="1890" w:type="dxa"/>
          </w:tcPr>
          <w:p w:rsidR="003E42AD" w:rsidRPr="00CB3176" w:rsidRDefault="003E42AD" w:rsidP="00CB3176">
            <w:pPr>
              <w:pStyle w:val="MSDS-TUZeile"/>
              <w:ind w:left="0"/>
              <w:jc w:val="center"/>
              <w:rPr>
                <w:rFonts w:ascii="Times New Roman" w:hAnsi="Times New Roman" w:cs="Times New Roman"/>
                <w:lang w:val="en-US"/>
              </w:rPr>
            </w:pPr>
            <w:r w:rsidRPr="00CB3176">
              <w:rPr>
                <w:rFonts w:ascii="Times New Roman" w:hAnsi="Times New Roman" w:cs="Times New Roman"/>
                <w:lang w:val="en-US"/>
              </w:rPr>
              <w:t>62.5, 250 and 1000 mg/kg bw/day</w:t>
            </w:r>
          </w:p>
        </w:tc>
        <w:tc>
          <w:tcPr>
            <w:tcW w:w="1710" w:type="dxa"/>
          </w:tcPr>
          <w:p w:rsidR="003E42AD" w:rsidRPr="00CB3176" w:rsidRDefault="003E42AD" w:rsidP="00CB3176">
            <w:pPr>
              <w:pStyle w:val="MSDS-TUZeile"/>
              <w:ind w:left="0"/>
              <w:jc w:val="center"/>
              <w:rPr>
                <w:rFonts w:ascii="Times New Roman" w:hAnsi="Times New Roman" w:cs="Times New Roman"/>
              </w:rPr>
            </w:pPr>
            <w:r w:rsidRPr="00CB3176">
              <w:rPr>
                <w:rFonts w:ascii="Times New Roman" w:hAnsi="Times New Roman" w:cs="Times New Roman"/>
              </w:rPr>
              <w:t>62.5 mg/kg bw (LOAEL)</w:t>
            </w:r>
          </w:p>
        </w:tc>
        <w:tc>
          <w:tcPr>
            <w:tcW w:w="2250" w:type="dxa"/>
            <w:vMerge w:val="restart"/>
          </w:tcPr>
          <w:p w:rsidR="003E42AD" w:rsidRPr="00CB3176" w:rsidRDefault="00D22FE6" w:rsidP="00CB3176">
            <w:pPr>
              <w:pStyle w:val="MSDS-TUZeile"/>
              <w:ind w:left="0"/>
              <w:jc w:val="center"/>
              <w:rPr>
                <w:rFonts w:ascii="Times New Roman" w:hAnsi="Times New Roman" w:cs="Times New Roman"/>
              </w:rPr>
            </w:pPr>
            <w:hyperlink r:id="rId39" w:history="1">
              <w:r w:rsidR="00C62D6F" w:rsidRPr="00CB3176">
                <w:rPr>
                  <w:rStyle w:val="Hyperlink"/>
                </w:rPr>
                <w:t>http://www.oecd.org/env/hazard/data</w:t>
              </w:r>
            </w:hyperlink>
          </w:p>
        </w:tc>
      </w:tr>
      <w:tr w:rsidR="003E42AD" w:rsidRPr="00D93C78" w:rsidTr="00F1532E">
        <w:tc>
          <w:tcPr>
            <w:tcW w:w="2370" w:type="dxa"/>
            <w:tcBorders>
              <w:bottom w:val="single" w:sz="6" w:space="0" w:color="auto"/>
            </w:tcBorders>
          </w:tcPr>
          <w:p w:rsidR="003E42AD" w:rsidRPr="00CB3176" w:rsidRDefault="003E42AD" w:rsidP="00CB3176">
            <w:pPr>
              <w:pStyle w:val="MSDS-TUZeile"/>
              <w:ind w:left="0"/>
              <w:jc w:val="center"/>
              <w:rPr>
                <w:rFonts w:ascii="Times New Roman" w:hAnsi="Times New Roman" w:cs="Times New Roman"/>
                <w:lang w:val="en-US"/>
              </w:rPr>
            </w:pPr>
            <w:r w:rsidRPr="00CB3176">
              <w:rPr>
                <w:rFonts w:ascii="Times New Roman" w:hAnsi="Times New Roman" w:cs="Times New Roman"/>
                <w:lang w:val="en-US"/>
              </w:rPr>
              <w:t>Rat /not specified/inhalation</w:t>
            </w:r>
          </w:p>
        </w:tc>
        <w:tc>
          <w:tcPr>
            <w:tcW w:w="1350" w:type="dxa"/>
            <w:tcBorders>
              <w:bottom w:val="single" w:sz="6" w:space="0" w:color="auto"/>
            </w:tcBorders>
          </w:tcPr>
          <w:p w:rsidR="003E42AD" w:rsidRPr="00CB3176" w:rsidRDefault="003E42AD" w:rsidP="00CB3176">
            <w:pPr>
              <w:pStyle w:val="MSDS-TUZeile"/>
              <w:ind w:left="0"/>
              <w:jc w:val="center"/>
              <w:rPr>
                <w:rFonts w:ascii="Times New Roman" w:hAnsi="Times New Roman" w:cs="Times New Roman"/>
                <w:lang w:val="en-US"/>
              </w:rPr>
            </w:pPr>
            <w:r w:rsidRPr="00CB3176">
              <w:rPr>
                <w:rFonts w:ascii="Times New Roman" w:hAnsi="Times New Roman" w:cs="Times New Roman"/>
                <w:lang w:val="nl-NL"/>
              </w:rPr>
              <w:t>14 weeks</w:t>
            </w:r>
          </w:p>
        </w:tc>
        <w:tc>
          <w:tcPr>
            <w:tcW w:w="1890" w:type="dxa"/>
            <w:tcBorders>
              <w:bottom w:val="single" w:sz="6" w:space="0" w:color="auto"/>
            </w:tcBorders>
          </w:tcPr>
          <w:p w:rsidR="003E42AD" w:rsidRPr="00CB3176" w:rsidRDefault="003E42AD" w:rsidP="00CB3176">
            <w:pPr>
              <w:pStyle w:val="MSDS-TUZeile"/>
              <w:ind w:left="0"/>
              <w:jc w:val="center"/>
              <w:rPr>
                <w:rFonts w:ascii="Times New Roman" w:hAnsi="Times New Roman" w:cs="Times New Roman"/>
                <w:lang w:val="en-US"/>
              </w:rPr>
            </w:pPr>
            <w:r w:rsidRPr="00CB3176">
              <w:rPr>
                <w:rFonts w:ascii="Times New Roman" w:hAnsi="Times New Roman" w:cs="Times New Roman"/>
                <w:lang w:val="en-US"/>
              </w:rPr>
              <w:t>0, 0.06, 0.6 or 2.4 mg/L</w:t>
            </w:r>
          </w:p>
        </w:tc>
        <w:tc>
          <w:tcPr>
            <w:tcW w:w="1710" w:type="dxa"/>
            <w:tcBorders>
              <w:bottom w:val="single" w:sz="6" w:space="0" w:color="auto"/>
            </w:tcBorders>
          </w:tcPr>
          <w:p w:rsidR="003E42AD" w:rsidRPr="00CB3176" w:rsidRDefault="003E42AD" w:rsidP="00CB3176">
            <w:pPr>
              <w:pStyle w:val="MSDS-TUZeile"/>
              <w:ind w:left="0"/>
              <w:jc w:val="center"/>
              <w:rPr>
                <w:rFonts w:ascii="Times New Roman" w:hAnsi="Times New Roman" w:cs="Times New Roman"/>
              </w:rPr>
            </w:pPr>
            <w:r w:rsidRPr="00CB3176">
              <w:rPr>
                <w:rFonts w:ascii="Times New Roman" w:hAnsi="Times New Roman" w:cs="Times New Roman"/>
              </w:rPr>
              <w:t>0.06 mg/L</w:t>
            </w:r>
          </w:p>
        </w:tc>
        <w:tc>
          <w:tcPr>
            <w:tcW w:w="2250" w:type="dxa"/>
            <w:vMerge/>
            <w:tcBorders>
              <w:bottom w:val="single" w:sz="6" w:space="0" w:color="auto"/>
            </w:tcBorders>
          </w:tcPr>
          <w:p w:rsidR="003E42AD" w:rsidRPr="00CB3176" w:rsidRDefault="003E42AD" w:rsidP="00CB3176">
            <w:pPr>
              <w:pStyle w:val="MSDS-TUZeile"/>
              <w:ind w:left="0"/>
              <w:jc w:val="center"/>
              <w:rPr>
                <w:rFonts w:ascii="Times New Roman" w:hAnsi="Times New Roman" w:cs="Times New Roman"/>
              </w:rPr>
            </w:pPr>
          </w:p>
        </w:tc>
      </w:tr>
      <w:tr w:rsidR="007877D7" w:rsidRPr="00D93C78" w:rsidTr="00F1532E">
        <w:tc>
          <w:tcPr>
            <w:tcW w:w="9570" w:type="dxa"/>
            <w:gridSpan w:val="5"/>
            <w:tcBorders>
              <w:top w:val="single" w:sz="6" w:space="0" w:color="auto"/>
              <w:bottom w:val="single" w:sz="6" w:space="0" w:color="auto"/>
            </w:tcBorders>
          </w:tcPr>
          <w:p w:rsidR="007877D7" w:rsidRPr="00CB3176" w:rsidRDefault="007877D7" w:rsidP="00CB3176">
            <w:pPr>
              <w:pStyle w:val="MSDS-TUZeile"/>
              <w:ind w:left="0"/>
              <w:jc w:val="center"/>
              <w:rPr>
                <w:rFonts w:ascii="Times New Roman" w:hAnsi="Times New Roman" w:cs="Times New Roman"/>
                <w:b/>
              </w:rPr>
            </w:pPr>
            <w:r w:rsidRPr="00CB3176">
              <w:rPr>
                <w:rFonts w:ascii="Times New Roman" w:hAnsi="Times New Roman" w:cs="Times New Roman"/>
                <w:b/>
              </w:rPr>
              <w:t xml:space="preserve">Hydrolysis product – </w:t>
            </w:r>
            <w:r w:rsidR="00BC41BB" w:rsidRPr="00CB3176">
              <w:rPr>
                <w:rFonts w:ascii="Times New Roman" w:hAnsi="Times New Roman" w:cs="Times New Roman"/>
                <w:b/>
              </w:rPr>
              <w:t>HCl</w:t>
            </w:r>
          </w:p>
        </w:tc>
      </w:tr>
      <w:tr w:rsidR="007877D7" w:rsidRPr="009F0C77" w:rsidTr="00F1532E">
        <w:tc>
          <w:tcPr>
            <w:tcW w:w="2370" w:type="dxa"/>
            <w:tcBorders>
              <w:top w:val="single" w:sz="6" w:space="0" w:color="auto"/>
            </w:tcBorders>
          </w:tcPr>
          <w:p w:rsidR="007877D7" w:rsidRPr="00CB3176" w:rsidRDefault="007877D7" w:rsidP="00CB3176">
            <w:pPr>
              <w:pStyle w:val="MSDS-TUZeile"/>
              <w:ind w:left="0"/>
              <w:jc w:val="center"/>
              <w:rPr>
                <w:rFonts w:ascii="Times New Roman" w:hAnsi="Times New Roman" w:cs="Times New Roman"/>
                <w:lang w:val="en-US"/>
              </w:rPr>
            </w:pPr>
            <w:r w:rsidRPr="00CB3176">
              <w:rPr>
                <w:rFonts w:ascii="Times New Roman" w:hAnsi="Times New Roman" w:cs="Times New Roman"/>
                <w:lang w:val="en-US"/>
              </w:rPr>
              <w:t>Rats and mice/inhalation</w:t>
            </w:r>
          </w:p>
        </w:tc>
        <w:tc>
          <w:tcPr>
            <w:tcW w:w="1350" w:type="dxa"/>
            <w:tcBorders>
              <w:top w:val="single" w:sz="6" w:space="0" w:color="auto"/>
            </w:tcBorders>
          </w:tcPr>
          <w:p w:rsidR="007877D7" w:rsidRPr="00CB3176" w:rsidRDefault="007877D7" w:rsidP="00CB3176">
            <w:pPr>
              <w:pStyle w:val="MSDS-TUZeile"/>
              <w:ind w:left="0"/>
              <w:jc w:val="center"/>
              <w:rPr>
                <w:rFonts w:ascii="Times New Roman" w:hAnsi="Times New Roman" w:cs="Times New Roman"/>
                <w:lang w:val="en-US"/>
              </w:rPr>
            </w:pPr>
            <w:r w:rsidRPr="00CB3176">
              <w:rPr>
                <w:rFonts w:ascii="Times New Roman" w:hAnsi="Times New Roman" w:cs="Times New Roman"/>
                <w:lang w:val="en-US"/>
              </w:rPr>
              <w:t>6 hrs/d, 5 d/wk; 90 d</w:t>
            </w:r>
          </w:p>
        </w:tc>
        <w:tc>
          <w:tcPr>
            <w:tcW w:w="1890" w:type="dxa"/>
            <w:tcBorders>
              <w:top w:val="single" w:sz="6" w:space="0" w:color="auto"/>
            </w:tcBorders>
          </w:tcPr>
          <w:p w:rsidR="007877D7" w:rsidRPr="00CB3176" w:rsidRDefault="007877D7" w:rsidP="00CB3176">
            <w:pPr>
              <w:pStyle w:val="MSDS-TUZeile"/>
              <w:ind w:left="0"/>
              <w:jc w:val="center"/>
              <w:rPr>
                <w:rFonts w:ascii="Times New Roman" w:hAnsi="Times New Roman" w:cs="Times New Roman"/>
                <w:lang w:val="en-US"/>
              </w:rPr>
            </w:pPr>
            <w:r w:rsidRPr="00CB3176">
              <w:rPr>
                <w:rFonts w:ascii="Times New Roman" w:hAnsi="Times New Roman" w:cs="Times New Roman"/>
                <w:lang w:val="en-US"/>
              </w:rPr>
              <w:t>0, 0.015, 0.030 and 0.075 mg/L/day</w:t>
            </w:r>
          </w:p>
        </w:tc>
        <w:tc>
          <w:tcPr>
            <w:tcW w:w="1710" w:type="dxa"/>
            <w:tcBorders>
              <w:top w:val="single" w:sz="6" w:space="0" w:color="auto"/>
            </w:tcBorders>
          </w:tcPr>
          <w:p w:rsidR="007877D7" w:rsidRPr="00CB3176" w:rsidRDefault="007877D7" w:rsidP="00CB3176">
            <w:pPr>
              <w:pStyle w:val="MSDS-TUZeile"/>
              <w:ind w:left="0"/>
              <w:jc w:val="center"/>
              <w:rPr>
                <w:rFonts w:ascii="Times New Roman" w:hAnsi="Times New Roman" w:cs="Times New Roman"/>
              </w:rPr>
            </w:pPr>
            <w:r w:rsidRPr="00CB3176">
              <w:rPr>
                <w:rFonts w:ascii="Times New Roman" w:hAnsi="Times New Roman" w:cs="Times New Roman"/>
              </w:rPr>
              <w:t>0.030 mg/L</w:t>
            </w:r>
          </w:p>
        </w:tc>
        <w:tc>
          <w:tcPr>
            <w:tcW w:w="2250" w:type="dxa"/>
            <w:tcBorders>
              <w:top w:val="single" w:sz="6" w:space="0" w:color="auto"/>
            </w:tcBorders>
          </w:tcPr>
          <w:p w:rsidR="007877D7" w:rsidRPr="00CB3176" w:rsidRDefault="00D22FE6" w:rsidP="00CB3176">
            <w:pPr>
              <w:pStyle w:val="MSDS-TUZeile"/>
              <w:ind w:left="0"/>
              <w:jc w:val="center"/>
              <w:rPr>
                <w:rFonts w:ascii="Times New Roman" w:hAnsi="Times New Roman" w:cs="Times New Roman"/>
              </w:rPr>
            </w:pPr>
            <w:hyperlink r:id="rId40" w:history="1">
              <w:r w:rsidR="00C62D6F" w:rsidRPr="00CB3176">
                <w:rPr>
                  <w:rStyle w:val="Hyperlink"/>
                </w:rPr>
                <w:t>http://www.oecd.org/env/hazard/data</w:t>
              </w:r>
            </w:hyperlink>
          </w:p>
        </w:tc>
      </w:tr>
    </w:tbl>
    <w:p w:rsidR="00C1433D" w:rsidRPr="00D93C78" w:rsidRDefault="00C1433D" w:rsidP="00740E9A">
      <w:pPr>
        <w:pStyle w:val="Heading8"/>
        <w:spacing w:before="240"/>
        <w:jc w:val="both"/>
      </w:pPr>
      <w:r w:rsidRPr="00D93C78">
        <w:t>Conclusion</w:t>
      </w:r>
    </w:p>
    <w:p w:rsidR="008809F8" w:rsidRPr="00D93C78" w:rsidRDefault="008809F8" w:rsidP="00F1532E">
      <w:pPr>
        <w:jc w:val="both"/>
      </w:pPr>
      <w:bookmarkStart w:id="134" w:name="_Toc32726034"/>
      <w:bookmarkStart w:id="135" w:name="_Toc32727217"/>
      <w:bookmarkStart w:id="136" w:name="_Toc43868665"/>
      <w:bookmarkStart w:id="137" w:name="_Toc200358253"/>
      <w:bookmarkStart w:id="138" w:name="_Toc310335193"/>
      <w:r w:rsidRPr="00D93C78">
        <w:t xml:space="preserve">Data from </w:t>
      </w:r>
      <w:r w:rsidR="00C85BC5" w:rsidRPr="00D93C78">
        <w:t xml:space="preserve">the </w:t>
      </w:r>
      <w:r w:rsidRPr="00D93C78">
        <w:t xml:space="preserve">supporting substance, VTMS, and </w:t>
      </w:r>
      <w:r w:rsidR="00C85BC5" w:rsidRPr="00D93C78">
        <w:t xml:space="preserve">the </w:t>
      </w:r>
      <w:r w:rsidRPr="00D93C78">
        <w:t>hydrolysis product</w:t>
      </w:r>
      <w:r w:rsidR="00C85BC5" w:rsidRPr="00D93C78">
        <w:t>,</w:t>
      </w:r>
      <w:r w:rsidRPr="00D93C78">
        <w:t xml:space="preserve"> HCl</w:t>
      </w:r>
      <w:r w:rsidR="00C85BC5" w:rsidRPr="00D93C78">
        <w:t>,</w:t>
      </w:r>
      <w:r w:rsidRPr="00D93C78">
        <w:t xml:space="preserve"> are used to fill the repeated-dose toxicity endpoint for the vinyl chlorosilanes. Systemic effects following </w:t>
      </w:r>
      <w:r w:rsidR="00C85BC5" w:rsidRPr="00D93C78">
        <w:t xml:space="preserve">repeated </w:t>
      </w:r>
      <w:r w:rsidRPr="00D93C78">
        <w:t xml:space="preserve">inhalation of VTMS (exposure likely as a mixture with silanol hydrolysis products) </w:t>
      </w:r>
      <w:r w:rsidR="00C85BC5" w:rsidRPr="00D93C78">
        <w:t xml:space="preserve">and HCl </w:t>
      </w:r>
      <w:r w:rsidR="005728C8" w:rsidRPr="00D93C78">
        <w:t>have been observed</w:t>
      </w:r>
      <w:r w:rsidRPr="00D93C78">
        <w:t xml:space="preserve">. </w:t>
      </w:r>
      <w:r w:rsidR="005728C8" w:rsidRPr="00D93C78">
        <w:t xml:space="preserve">In a repeated-dose toxicity study [TG unknown], rats (20/sex/concentration) were exposed for six hours per day, five days per week, for 14 weeks to vapor of VTMS at concentrations of 0, 0.06, 0.6 or 2.4 mg/L, respectively, resulting in </w:t>
      </w:r>
      <w:r w:rsidRPr="00D93C78">
        <w:t xml:space="preserve">effects </w:t>
      </w:r>
      <w:r w:rsidR="005728C8" w:rsidRPr="00D93C78">
        <w:t>primarily o</w:t>
      </w:r>
      <w:r w:rsidRPr="00D93C78">
        <w:t>n the urinary bladder and kidney</w:t>
      </w:r>
      <w:r w:rsidR="005728C8" w:rsidRPr="00D93C78">
        <w:t>.</w:t>
      </w:r>
      <w:r w:rsidRPr="00D93C78">
        <w:t xml:space="preserve"> </w:t>
      </w:r>
      <w:r w:rsidR="005728C8" w:rsidRPr="00D93C78">
        <w:t>T</w:t>
      </w:r>
      <w:r w:rsidRPr="00D93C78">
        <w:t xml:space="preserve">he </w:t>
      </w:r>
      <w:r w:rsidR="005728C8" w:rsidRPr="00D93C78">
        <w:t xml:space="preserve">LOAEC was determined to be 0.6 mg/L and the </w:t>
      </w:r>
      <w:r w:rsidRPr="00D93C78">
        <w:t xml:space="preserve">NOAEC was 0.06 mg/L. </w:t>
      </w:r>
      <w:r w:rsidR="007A666C" w:rsidRPr="00D93C78">
        <w:t>D</w:t>
      </w:r>
      <w:r w:rsidRPr="00D93C78">
        <w:t xml:space="preserve">uring </w:t>
      </w:r>
      <w:r w:rsidR="007A666C" w:rsidRPr="00D93C78">
        <w:t xml:space="preserve">90-day </w:t>
      </w:r>
      <w:r w:rsidRPr="00D93C78">
        <w:t xml:space="preserve">repeated dose </w:t>
      </w:r>
      <w:r w:rsidR="007A666C" w:rsidRPr="00D93C78">
        <w:t xml:space="preserve">inhalation </w:t>
      </w:r>
      <w:r w:rsidRPr="00D93C78">
        <w:t xml:space="preserve">toxicity studies, local effects of </w:t>
      </w:r>
      <w:r w:rsidR="005728C8" w:rsidRPr="00D93C78">
        <w:t xml:space="preserve">HCl </w:t>
      </w:r>
      <w:r w:rsidRPr="00D93C78">
        <w:t xml:space="preserve">irritation were observed in groups </w:t>
      </w:r>
      <w:r w:rsidR="007A666C" w:rsidRPr="00D93C78">
        <w:t>exposed to</w:t>
      </w:r>
      <w:r w:rsidRPr="00D93C78">
        <w:t xml:space="preserve"> 0.015 mg/L and above.  The NOAEC for systemic toxicity for HCl, excluding the local effects of irritation, has been determined to be 0.030 mg/L for rats and mice.  </w:t>
      </w:r>
      <w:r w:rsidR="005728C8" w:rsidRPr="00D93C78">
        <w:t xml:space="preserve">Based on these data, </w:t>
      </w:r>
      <w:r w:rsidRPr="00D93C78">
        <w:t xml:space="preserve">the vinyl chlorosilanes </w:t>
      </w:r>
      <w:r w:rsidR="005728C8" w:rsidRPr="00D93C78">
        <w:t>may result in repeated dose inhalation toxicity, with a NOAEC of 0.60 mg/L (</w:t>
      </w:r>
      <w:r w:rsidRPr="00D93C78">
        <w:t>HCl</w:t>
      </w:r>
      <w:r w:rsidR="005728C8" w:rsidRPr="00D93C78">
        <w:t>) for both category members</w:t>
      </w:r>
      <w:r w:rsidRPr="00D93C78">
        <w:t xml:space="preserve">. </w:t>
      </w:r>
      <w:r w:rsidR="005728C8" w:rsidRPr="00D93C78">
        <w:t xml:space="preserve">In a combined repeated-dose/reproductive/developmental toxicity screening test [OECD TG 422], male and female rats were administered VTMS via gavage at 62.5, 250 and 1000 mg/kg bw/day for up to 43 days, resulting in effects primarily on the urinary bladder, intestine, kidney, and thymus in both sexes at all doses. </w:t>
      </w:r>
      <w:r w:rsidRPr="00D93C78">
        <w:t xml:space="preserve">The NOAEL </w:t>
      </w:r>
      <w:r w:rsidR="005728C8" w:rsidRPr="00D93C78">
        <w:t>was not established in this study.</w:t>
      </w:r>
      <w:r w:rsidRPr="00D93C78">
        <w:t xml:space="preserve"> </w:t>
      </w:r>
      <w:r w:rsidR="005728C8" w:rsidRPr="00D93C78">
        <w:t xml:space="preserve"> T</w:t>
      </w:r>
      <w:r w:rsidRPr="00D93C78">
        <w:t xml:space="preserve">he LOAEC was 62.5 mg/kg bw/day </w:t>
      </w:r>
      <w:r w:rsidR="005728C8" w:rsidRPr="00D93C78">
        <w:t>(</w:t>
      </w:r>
      <w:r w:rsidRPr="00D93C78">
        <w:t>decreased urine osmolality and sodium, potassium and chloride concentrations (males) and slight decrease in body weight and body weight gain (females)</w:t>
      </w:r>
      <w:r w:rsidR="005728C8" w:rsidRPr="00D93C78">
        <w:t>)</w:t>
      </w:r>
      <w:r w:rsidRPr="00D93C78">
        <w:t>.</w:t>
      </w:r>
      <w:r w:rsidR="005728C8" w:rsidRPr="00D93C78">
        <w:t xml:space="preserve">  Similar effects are expected for the vinyl chlorosilane category members. Based on these data, the vinyl chlorosilanes may result in repeated dose oral toxicity, with an LOAEL of 62.5 mg/kg bw (VTMS) for both category members.</w:t>
      </w:r>
      <w:r w:rsidRPr="00D93C78">
        <w:t xml:space="preserve">  </w:t>
      </w:r>
    </w:p>
    <w:p w:rsidR="00C1433D" w:rsidRPr="00D93C78" w:rsidRDefault="00C1433D" w:rsidP="00D93C78">
      <w:pPr>
        <w:pStyle w:val="Heading3"/>
        <w:numPr>
          <w:ilvl w:val="0"/>
          <w:numId w:val="0"/>
        </w:numPr>
        <w:tabs>
          <w:tab w:val="clear" w:pos="2160"/>
        </w:tabs>
        <w:jc w:val="both"/>
        <w:rPr>
          <w:rFonts w:ascii="Times New Roman" w:hAnsi="Times New Roman"/>
          <w:szCs w:val="24"/>
        </w:rPr>
      </w:pPr>
      <w:r w:rsidRPr="00D93C78">
        <w:rPr>
          <w:rFonts w:ascii="Times New Roman" w:hAnsi="Times New Roman"/>
          <w:szCs w:val="24"/>
        </w:rPr>
        <w:t>3.1.6</w:t>
      </w:r>
      <w:r w:rsidRPr="00D93C78">
        <w:rPr>
          <w:rFonts w:ascii="Times New Roman" w:hAnsi="Times New Roman"/>
          <w:szCs w:val="24"/>
        </w:rPr>
        <w:tab/>
        <w:t>Mutagenicity</w:t>
      </w:r>
      <w:bookmarkEnd w:id="134"/>
      <w:bookmarkEnd w:id="135"/>
      <w:bookmarkEnd w:id="136"/>
      <w:bookmarkEnd w:id="137"/>
      <w:bookmarkEnd w:id="138"/>
    </w:p>
    <w:p w:rsidR="00C1433D" w:rsidRPr="00D93C78" w:rsidRDefault="007B08AA" w:rsidP="00D93C78">
      <w:pPr>
        <w:pStyle w:val="BodyText"/>
        <w:rPr>
          <w:szCs w:val="24"/>
        </w:rPr>
      </w:pPr>
      <w:r w:rsidRPr="00D93C78">
        <w:rPr>
          <w:szCs w:val="24"/>
        </w:rPr>
        <w:t xml:space="preserve">Bacterial </w:t>
      </w:r>
      <w:r w:rsidR="00D104F7" w:rsidRPr="00D93C78">
        <w:rPr>
          <w:szCs w:val="24"/>
        </w:rPr>
        <w:t xml:space="preserve">and/or mammalian mutagenicity </w:t>
      </w:r>
      <w:r w:rsidR="00C1433D" w:rsidRPr="00D93C78">
        <w:rPr>
          <w:szCs w:val="24"/>
        </w:rPr>
        <w:t xml:space="preserve">studies have been conducted with </w:t>
      </w:r>
      <w:r w:rsidRPr="00D93C78">
        <w:rPr>
          <w:szCs w:val="24"/>
        </w:rPr>
        <w:t xml:space="preserve">the </w:t>
      </w:r>
      <w:r w:rsidR="00D104F7" w:rsidRPr="00D93C78">
        <w:rPr>
          <w:szCs w:val="24"/>
        </w:rPr>
        <w:t>vinyl</w:t>
      </w:r>
      <w:r w:rsidRPr="00D93C78">
        <w:rPr>
          <w:szCs w:val="24"/>
        </w:rPr>
        <w:t xml:space="preserve"> chlorosilanes</w:t>
      </w:r>
      <w:r w:rsidR="00C1433D" w:rsidRPr="00D93C78">
        <w:rPr>
          <w:szCs w:val="24"/>
        </w:rPr>
        <w:t xml:space="preserve">.  </w:t>
      </w:r>
      <w:r w:rsidR="00D104F7" w:rsidRPr="00D93C78">
        <w:rPr>
          <w:szCs w:val="24"/>
        </w:rPr>
        <w:t>B</w:t>
      </w:r>
      <w:r w:rsidR="00B81A3D" w:rsidRPr="00D93C78">
        <w:rPr>
          <w:szCs w:val="24"/>
        </w:rPr>
        <w:t xml:space="preserve">acterial and </w:t>
      </w:r>
      <w:r w:rsidR="00D104F7" w:rsidRPr="00D93C78">
        <w:rPr>
          <w:i/>
          <w:szCs w:val="24"/>
        </w:rPr>
        <w:t>in vitro</w:t>
      </w:r>
      <w:r w:rsidR="00D104F7" w:rsidRPr="00D93C78">
        <w:rPr>
          <w:szCs w:val="24"/>
        </w:rPr>
        <w:t xml:space="preserve"> </w:t>
      </w:r>
      <w:r w:rsidR="00B81A3D" w:rsidRPr="00D93C78">
        <w:rPr>
          <w:szCs w:val="24"/>
        </w:rPr>
        <w:t xml:space="preserve">mammalian genotoxicity studies have been conducted with </w:t>
      </w:r>
      <w:r w:rsidR="00C61467" w:rsidRPr="00D93C78">
        <w:rPr>
          <w:szCs w:val="24"/>
        </w:rPr>
        <w:t xml:space="preserve">the </w:t>
      </w:r>
      <w:r w:rsidR="00706D97" w:rsidRPr="00D93C78">
        <w:rPr>
          <w:szCs w:val="24"/>
        </w:rPr>
        <w:t>hydrolysis product, HCl</w:t>
      </w:r>
      <w:r w:rsidR="00B81A3D" w:rsidRPr="00D93C78">
        <w:rPr>
          <w:szCs w:val="24"/>
        </w:rPr>
        <w:t>.</w:t>
      </w:r>
    </w:p>
    <w:p w:rsidR="00C1433D" w:rsidRPr="00D93C78" w:rsidRDefault="00C1433D" w:rsidP="00CB3176">
      <w:pPr>
        <w:pStyle w:val="Heading8"/>
        <w:keepLines/>
        <w:jc w:val="both"/>
      </w:pPr>
      <w:r w:rsidRPr="00D93C78">
        <w:t>Studies in Animals</w:t>
      </w:r>
    </w:p>
    <w:p w:rsidR="00C1433D" w:rsidRPr="00D93C78" w:rsidRDefault="00C1433D" w:rsidP="00CB3176">
      <w:pPr>
        <w:pStyle w:val="Heading9"/>
        <w:keepLines/>
        <w:jc w:val="both"/>
      </w:pPr>
      <w:r w:rsidRPr="00D93C78">
        <w:t xml:space="preserve">In vitro Studies - Gene mutations  </w:t>
      </w:r>
    </w:p>
    <w:p w:rsidR="00D104F7" w:rsidRPr="00D93C78" w:rsidRDefault="00D104F7" w:rsidP="00CB3176">
      <w:pPr>
        <w:pStyle w:val="BodyText"/>
        <w:keepNext/>
        <w:keepLines/>
        <w:rPr>
          <w:b/>
          <w:szCs w:val="24"/>
        </w:rPr>
      </w:pPr>
      <w:r w:rsidRPr="00D93C78">
        <w:rPr>
          <w:b/>
          <w:szCs w:val="24"/>
        </w:rPr>
        <w:t>Sponsored substance</w:t>
      </w:r>
      <w:r w:rsidR="00386687" w:rsidRPr="00D93C78">
        <w:rPr>
          <w:b/>
          <w:szCs w:val="24"/>
        </w:rPr>
        <w:t>s</w:t>
      </w:r>
      <w:r w:rsidRPr="00D93C78">
        <w:rPr>
          <w:b/>
          <w:szCs w:val="24"/>
        </w:rPr>
        <w:t>:</w:t>
      </w:r>
    </w:p>
    <w:p w:rsidR="00577609" w:rsidRPr="00D93C78" w:rsidRDefault="00D104F7" w:rsidP="00CB3176">
      <w:pPr>
        <w:pStyle w:val="BodyText"/>
        <w:keepNext/>
        <w:keepLines/>
        <w:rPr>
          <w:szCs w:val="24"/>
        </w:rPr>
      </w:pPr>
      <w:r w:rsidRPr="00D93C78">
        <w:rPr>
          <w:b/>
          <w:szCs w:val="24"/>
        </w:rPr>
        <w:t>VDCS</w:t>
      </w:r>
      <w:r w:rsidR="00D44F62" w:rsidRPr="00D93C78">
        <w:rPr>
          <w:b/>
          <w:szCs w:val="24"/>
        </w:rPr>
        <w:t>:</w:t>
      </w:r>
      <w:r w:rsidRPr="00D93C78">
        <w:rPr>
          <w:szCs w:val="24"/>
        </w:rPr>
        <w:t xml:space="preserve"> </w:t>
      </w:r>
      <w:r w:rsidR="004E5D96" w:rsidRPr="00D93C78">
        <w:rPr>
          <w:szCs w:val="24"/>
        </w:rPr>
        <w:t xml:space="preserve">(1) </w:t>
      </w:r>
      <w:r w:rsidRPr="00D93C78">
        <w:rPr>
          <w:szCs w:val="24"/>
        </w:rPr>
        <w:t xml:space="preserve">In a study similar to OECD Guideline 471 (Bacterial Reverse Mutation Assay), </w:t>
      </w:r>
      <w:r w:rsidRPr="00D93C78">
        <w:rPr>
          <w:i/>
          <w:szCs w:val="24"/>
        </w:rPr>
        <w:t>Salmonella typhimurium</w:t>
      </w:r>
      <w:r w:rsidRPr="00D93C78">
        <w:rPr>
          <w:szCs w:val="24"/>
        </w:rPr>
        <w:t xml:space="preserve"> strains TA98, TA100, TA1535, TA1537 and Escherichia coli WP-2</w:t>
      </w:r>
      <w:r w:rsidR="004E5D96" w:rsidRPr="00D93C78">
        <w:rPr>
          <w:szCs w:val="24"/>
        </w:rPr>
        <w:t xml:space="preserve"> </w:t>
      </w:r>
      <w:r w:rsidRPr="00D93C78">
        <w:rPr>
          <w:szCs w:val="24"/>
        </w:rPr>
        <w:t xml:space="preserve"> </w:t>
      </w:r>
      <w:r w:rsidR="004E5D96" w:rsidRPr="00D93C78">
        <w:rPr>
          <w:szCs w:val="24"/>
        </w:rPr>
        <w:t xml:space="preserve">were exposed to the test substance at concentrations of 0.078 0.156 0.312 0.625 1.250 µL/plate in the presence and absence of metabolic activation (Aroclor induced rat liver S9; </w:t>
      </w:r>
      <w:r w:rsidRPr="00D93C78">
        <w:rPr>
          <w:szCs w:val="24"/>
        </w:rPr>
        <w:t>Dow Corning Corporation, 1985).</w:t>
      </w:r>
      <w:r w:rsidR="004E5D96" w:rsidRPr="00D93C78">
        <w:rPr>
          <w:szCs w:val="24"/>
        </w:rPr>
        <w:t xml:space="preserve"> Appropriate concurrent negative and positive controls were included and the expected responses were observed. The test substance did not demonstrate genetic activity in any of the tests conducted in this evaluation, both with and without metabolic activation. The results indicate that the test substance was not mutagenic under these test conditions. </w:t>
      </w:r>
    </w:p>
    <w:p w:rsidR="00577609" w:rsidRPr="00D93C78" w:rsidRDefault="004E5D96" w:rsidP="00D93C78">
      <w:pPr>
        <w:pStyle w:val="BodyText"/>
        <w:rPr>
          <w:szCs w:val="24"/>
        </w:rPr>
      </w:pPr>
      <w:r w:rsidRPr="00D93C78">
        <w:rPr>
          <w:szCs w:val="24"/>
        </w:rPr>
        <w:t xml:space="preserve">(2) In a study similar to OECD Guideline 471, </w:t>
      </w:r>
      <w:r w:rsidRPr="00D93C78">
        <w:rPr>
          <w:i/>
          <w:szCs w:val="24"/>
        </w:rPr>
        <w:t>Salmonella typhimurium</w:t>
      </w:r>
      <w:r w:rsidRPr="00D93C78">
        <w:rPr>
          <w:szCs w:val="24"/>
        </w:rPr>
        <w:t xml:space="preserve"> strains TA98, TA100, TA1535, TA1537, and TA1538 were exposed to the test substance at concentrations of 667-10000 μg/plate in the presence and absence of metabolic activation (Aroclor induced rat and hamster liver S9; San and Shelton, 1990). Appropriate concurrent negative and positive controls were included and the expected responses were observed. In the definitive mutagenicity assay, the test substance caused a positive response (3.9, 2.3 and 3.2 fold maximum increases) with TA1535 in the presence of hamster microsomal enzyme. The test substance is considered mutagenic in strain TA 1535 with metabolic activation.</w:t>
      </w:r>
      <w:r w:rsidR="00453456" w:rsidRPr="00D93C78">
        <w:rPr>
          <w:szCs w:val="24"/>
        </w:rPr>
        <w:t xml:space="preserve"> </w:t>
      </w:r>
    </w:p>
    <w:p w:rsidR="00577609" w:rsidRPr="00D93C78" w:rsidRDefault="00D104F7" w:rsidP="00D93C78">
      <w:pPr>
        <w:pStyle w:val="BodyText"/>
        <w:rPr>
          <w:szCs w:val="24"/>
        </w:rPr>
      </w:pPr>
      <w:r w:rsidRPr="00D93C78">
        <w:rPr>
          <w:b/>
          <w:szCs w:val="24"/>
        </w:rPr>
        <w:t>VTCS</w:t>
      </w:r>
      <w:r w:rsidRPr="00D93C78">
        <w:rPr>
          <w:szCs w:val="24"/>
        </w:rPr>
        <w:t xml:space="preserve">: </w:t>
      </w:r>
      <w:r w:rsidR="008E5851" w:rsidRPr="00D93C78">
        <w:rPr>
          <w:szCs w:val="24"/>
        </w:rPr>
        <w:t xml:space="preserve">(1) In a study </w:t>
      </w:r>
      <w:r w:rsidR="00FC1AEA" w:rsidRPr="00D93C78">
        <w:rPr>
          <w:szCs w:val="24"/>
        </w:rPr>
        <w:t>similar to</w:t>
      </w:r>
      <w:r w:rsidR="008E5851" w:rsidRPr="00D93C78">
        <w:rPr>
          <w:szCs w:val="24"/>
        </w:rPr>
        <w:t xml:space="preserve"> OECD Guideline 471, </w:t>
      </w:r>
      <w:r w:rsidR="008E5851" w:rsidRPr="00D93C78">
        <w:rPr>
          <w:i/>
          <w:szCs w:val="24"/>
        </w:rPr>
        <w:t>Salmonella typhimurium</w:t>
      </w:r>
      <w:r w:rsidR="008E5851" w:rsidRPr="00D93C78">
        <w:rPr>
          <w:szCs w:val="24"/>
        </w:rPr>
        <w:t xml:space="preserve"> strains TA 1535, TA 1537, TA 98, TA 100 and E. coli WP2 uvr A were exposed to the test substance at concentrations up to 5000 μg/plate in the presence and absence of metabolic activation (phenobarbitol and 5,6 benzoflavone induced rat liver S9; Shin Etsu</w:t>
      </w:r>
      <w:r w:rsidR="00B547ED" w:rsidRPr="00D93C78">
        <w:rPr>
          <w:szCs w:val="24"/>
        </w:rPr>
        <w:t xml:space="preserve"> Chemical Co.</w:t>
      </w:r>
      <w:r w:rsidR="008E5851" w:rsidRPr="00D93C78">
        <w:rPr>
          <w:szCs w:val="24"/>
        </w:rPr>
        <w:t xml:space="preserve">, 2009).  Appropriate concurrent negative and positive controls were included and the expected responses were observed. The test substance did not demonstrate genetic activity in any of the tests conducted in this evaluation, both with and without metabolic activation. The results indicate that the test substance was not mutagenic under these test conditions. </w:t>
      </w:r>
    </w:p>
    <w:p w:rsidR="004747D4" w:rsidRPr="00D93C78" w:rsidRDefault="008E5851" w:rsidP="00D93C78">
      <w:pPr>
        <w:pStyle w:val="BodyText"/>
        <w:rPr>
          <w:szCs w:val="24"/>
        </w:rPr>
      </w:pPr>
      <w:r w:rsidRPr="00D93C78">
        <w:rPr>
          <w:szCs w:val="24"/>
        </w:rPr>
        <w:t xml:space="preserve">(2) In a study </w:t>
      </w:r>
      <w:r w:rsidR="000A1E84" w:rsidRPr="00D93C78">
        <w:rPr>
          <w:szCs w:val="24"/>
        </w:rPr>
        <w:t>equivalent to</w:t>
      </w:r>
      <w:r w:rsidRPr="00D93C78">
        <w:rPr>
          <w:szCs w:val="24"/>
        </w:rPr>
        <w:t xml:space="preserve"> OECD Guideline 471 (Bacterial Reverse Mutation Assay), </w:t>
      </w:r>
      <w:r w:rsidRPr="00D93C78">
        <w:rPr>
          <w:i/>
          <w:szCs w:val="24"/>
        </w:rPr>
        <w:t>Salmonella typhimurium</w:t>
      </w:r>
      <w:r w:rsidRPr="00D93C78">
        <w:rPr>
          <w:szCs w:val="24"/>
        </w:rPr>
        <w:t xml:space="preserve"> strains TA 98, TA 100, TA 102, TA 1535, and TA 1537 were exposed to the test substance at concentrations up to 5000 μg/plate in the presence and absence of metabolic activation (Aroclor induced rat liver S9; Wacker, 2002). Appropriate concurrent negative and positive controls were included and the expected responses were observed. The test substance did not demonstrate genetic activity in any of the tests conducted in this evaluation, both with and without metabolic activation. The results indicate that the test substance was not mutagenic under these test conditions.</w:t>
      </w:r>
    </w:p>
    <w:p w:rsidR="007877D7" w:rsidRPr="00D93C78" w:rsidRDefault="000A1E84" w:rsidP="00D93C78">
      <w:pPr>
        <w:pStyle w:val="BodyText"/>
        <w:rPr>
          <w:b/>
          <w:szCs w:val="24"/>
        </w:rPr>
      </w:pPr>
      <w:r w:rsidRPr="00D93C78">
        <w:rPr>
          <w:b/>
          <w:i/>
          <w:szCs w:val="24"/>
        </w:rPr>
        <w:t>Hydrolysis product</w:t>
      </w:r>
      <w:r w:rsidR="00706D97" w:rsidRPr="00D93C78">
        <w:rPr>
          <w:b/>
          <w:szCs w:val="24"/>
        </w:rPr>
        <w:t xml:space="preserve"> </w:t>
      </w:r>
    </w:p>
    <w:p w:rsidR="00706D97" w:rsidRPr="00D93C78" w:rsidRDefault="00706D97" w:rsidP="00D93C78">
      <w:pPr>
        <w:pStyle w:val="BodyText"/>
        <w:rPr>
          <w:szCs w:val="24"/>
        </w:rPr>
      </w:pPr>
      <w:r w:rsidRPr="00D93C78">
        <w:rPr>
          <w:b/>
          <w:szCs w:val="24"/>
        </w:rPr>
        <w:t>HCl</w:t>
      </w:r>
      <w:r w:rsidR="00D44F62" w:rsidRPr="00D93C78">
        <w:rPr>
          <w:b/>
          <w:szCs w:val="24"/>
        </w:rPr>
        <w:t>:</w:t>
      </w:r>
      <w:r w:rsidRPr="00D93C78">
        <w:rPr>
          <w:szCs w:val="24"/>
        </w:rPr>
        <w:t xml:space="preserve"> HCl was negative in the Ames test.</w:t>
      </w:r>
    </w:p>
    <w:p w:rsidR="00C1433D" w:rsidRPr="00D93C78" w:rsidRDefault="00C1433D" w:rsidP="00CB3176">
      <w:pPr>
        <w:pStyle w:val="Heading9"/>
      </w:pPr>
      <w:r w:rsidRPr="00D93C78">
        <w:t>In vitro Studies - Chromosomal aberrations</w:t>
      </w:r>
    </w:p>
    <w:p w:rsidR="00D104F7" w:rsidRPr="00D93C78" w:rsidRDefault="00D104F7" w:rsidP="00D93C78">
      <w:pPr>
        <w:pStyle w:val="BodyText"/>
        <w:rPr>
          <w:b/>
          <w:szCs w:val="24"/>
        </w:rPr>
      </w:pPr>
      <w:r w:rsidRPr="00D93C78">
        <w:rPr>
          <w:b/>
          <w:szCs w:val="24"/>
        </w:rPr>
        <w:t>Sponsored substance</w:t>
      </w:r>
      <w:r w:rsidR="00386687" w:rsidRPr="00D93C78">
        <w:rPr>
          <w:b/>
          <w:szCs w:val="24"/>
        </w:rPr>
        <w:t>s</w:t>
      </w:r>
      <w:r w:rsidRPr="00D93C78">
        <w:rPr>
          <w:b/>
          <w:szCs w:val="24"/>
        </w:rPr>
        <w:t>:</w:t>
      </w:r>
    </w:p>
    <w:p w:rsidR="00D104F7" w:rsidRPr="00D93C78" w:rsidRDefault="00D104F7" w:rsidP="00D93C78">
      <w:pPr>
        <w:pStyle w:val="BodyText"/>
        <w:rPr>
          <w:szCs w:val="24"/>
        </w:rPr>
      </w:pPr>
      <w:r w:rsidRPr="00D93C78">
        <w:rPr>
          <w:b/>
          <w:szCs w:val="24"/>
        </w:rPr>
        <w:t>VDCS</w:t>
      </w:r>
      <w:r w:rsidR="00D44F62" w:rsidRPr="00D93C78">
        <w:rPr>
          <w:b/>
          <w:szCs w:val="24"/>
        </w:rPr>
        <w:t>:</w:t>
      </w:r>
      <w:r w:rsidRPr="00D93C78">
        <w:rPr>
          <w:szCs w:val="24"/>
        </w:rPr>
        <w:t xml:space="preserve"> </w:t>
      </w:r>
      <w:r w:rsidR="004E5D96" w:rsidRPr="00D93C78">
        <w:rPr>
          <w:szCs w:val="24"/>
        </w:rPr>
        <w:t xml:space="preserve"> </w:t>
      </w:r>
      <w:r w:rsidR="00453456" w:rsidRPr="00D93C78">
        <w:rPr>
          <w:szCs w:val="24"/>
        </w:rPr>
        <w:t>In a study conducted according to OECD Guideline 473 (</w:t>
      </w:r>
      <w:r w:rsidR="000A1E84" w:rsidRPr="00D93C78">
        <w:rPr>
          <w:i/>
          <w:szCs w:val="24"/>
        </w:rPr>
        <w:t>In vitro</w:t>
      </w:r>
      <w:r w:rsidR="00453456" w:rsidRPr="00D93C78">
        <w:rPr>
          <w:szCs w:val="24"/>
        </w:rPr>
        <w:t xml:space="preserve"> Mammalian Chromosome Aberration Test), lymphocytes: human, from screened donors were exposed to the test substance at concentrations of 44.06 to 1410 μg/ml in the presence and absence of metabolic activation (phenobarbitone (80 mg/kg) and ß-naphthoflavone (100 mg/kg) induced rat liver S9; </w:t>
      </w:r>
      <w:r w:rsidR="004E5D96" w:rsidRPr="00D93C78">
        <w:rPr>
          <w:szCs w:val="24"/>
        </w:rPr>
        <w:t>Morris, 2010).</w:t>
      </w:r>
      <w:r w:rsidR="00453456" w:rsidRPr="00D93C78">
        <w:rPr>
          <w:szCs w:val="24"/>
        </w:rPr>
        <w:t xml:space="preserve"> No increase in the frequency of aberrations resulting from treatment with the test substance was detected. The expected results were obtained with vehicle and positive controls. It is concluded that the test substance is negative for the induction of chromosome aberrations in mammalian cells under the conditions of the test. </w:t>
      </w:r>
    </w:p>
    <w:p w:rsidR="00D104F7" w:rsidRPr="00D93C78" w:rsidRDefault="00D104F7" w:rsidP="00D93C78">
      <w:pPr>
        <w:pStyle w:val="BodyText"/>
        <w:rPr>
          <w:szCs w:val="24"/>
        </w:rPr>
      </w:pPr>
      <w:r w:rsidRPr="00D93C78">
        <w:rPr>
          <w:b/>
          <w:szCs w:val="24"/>
        </w:rPr>
        <w:t>VTCS</w:t>
      </w:r>
      <w:r w:rsidRPr="00D93C78">
        <w:rPr>
          <w:szCs w:val="24"/>
        </w:rPr>
        <w:t xml:space="preserve">: </w:t>
      </w:r>
      <w:r w:rsidR="004E5D96" w:rsidRPr="00D93C78">
        <w:rPr>
          <w:szCs w:val="24"/>
        </w:rPr>
        <w:t>No data located.</w:t>
      </w:r>
    </w:p>
    <w:p w:rsidR="007877D7" w:rsidRPr="00D93C78" w:rsidRDefault="000A1E84" w:rsidP="00D93C78">
      <w:pPr>
        <w:pStyle w:val="BodyText"/>
        <w:rPr>
          <w:b/>
          <w:szCs w:val="24"/>
        </w:rPr>
      </w:pPr>
      <w:r w:rsidRPr="00D93C78">
        <w:rPr>
          <w:b/>
          <w:i/>
          <w:szCs w:val="24"/>
        </w:rPr>
        <w:t>Hydrolysis product</w:t>
      </w:r>
    </w:p>
    <w:p w:rsidR="00706D97" w:rsidRPr="00D93C78" w:rsidRDefault="00706D97" w:rsidP="00D93C78">
      <w:pPr>
        <w:pStyle w:val="BodyText"/>
        <w:rPr>
          <w:szCs w:val="24"/>
        </w:rPr>
      </w:pPr>
      <w:r w:rsidRPr="00D93C78">
        <w:rPr>
          <w:b/>
          <w:szCs w:val="24"/>
        </w:rPr>
        <w:t>HCl</w:t>
      </w:r>
      <w:r w:rsidR="00D44F62" w:rsidRPr="00D93C78">
        <w:rPr>
          <w:b/>
          <w:szCs w:val="24"/>
        </w:rPr>
        <w:t>:</w:t>
      </w:r>
      <w:r w:rsidRPr="00D93C78">
        <w:rPr>
          <w:szCs w:val="24"/>
        </w:rPr>
        <w:t xml:space="preserve"> Positive results have been obtained in the </w:t>
      </w:r>
      <w:r w:rsidRPr="00D93C78">
        <w:rPr>
          <w:i/>
          <w:szCs w:val="24"/>
        </w:rPr>
        <w:t>in vitro</w:t>
      </w:r>
      <w:r w:rsidRPr="00D93C78">
        <w:rPr>
          <w:szCs w:val="24"/>
        </w:rPr>
        <w:t xml:space="preserve"> chromosome aberration test with HCl</w:t>
      </w:r>
      <w:r w:rsidR="001454C0" w:rsidRPr="00D93C78">
        <w:rPr>
          <w:szCs w:val="24"/>
        </w:rPr>
        <w:t xml:space="preserve">, </w:t>
      </w:r>
      <w:r w:rsidRPr="00D93C78">
        <w:rPr>
          <w:szCs w:val="24"/>
        </w:rPr>
        <w:t>considered to be the effect of low pH</w:t>
      </w:r>
      <w:r w:rsidR="00C62D6F" w:rsidRPr="00D93C78">
        <w:rPr>
          <w:szCs w:val="24"/>
        </w:rPr>
        <w:t xml:space="preserve"> (</w:t>
      </w:r>
      <w:hyperlink r:id="rId41" w:history="1">
        <w:r w:rsidR="00C62D6F" w:rsidRPr="00D93C78">
          <w:rPr>
            <w:rStyle w:val="Hyperlink"/>
            <w:sz w:val="24"/>
            <w:szCs w:val="24"/>
          </w:rPr>
          <w:t>http://www.oecd.org/env/hazard/data</w:t>
        </w:r>
      </w:hyperlink>
      <w:r w:rsidR="00C62D6F" w:rsidRPr="00D93C78">
        <w:rPr>
          <w:szCs w:val="24"/>
        </w:rPr>
        <w:t>)</w:t>
      </w:r>
      <w:r w:rsidRPr="00D93C78">
        <w:rPr>
          <w:szCs w:val="24"/>
        </w:rPr>
        <w:t>.</w:t>
      </w:r>
    </w:p>
    <w:p w:rsidR="00B3206B" w:rsidRPr="00D93C78" w:rsidRDefault="00B3206B" w:rsidP="00C53187">
      <w:pPr>
        <w:pStyle w:val="Heading9"/>
      </w:pPr>
      <w:r w:rsidRPr="00D93C78">
        <w:t>In Vitro Studies - Other</w:t>
      </w:r>
    </w:p>
    <w:p w:rsidR="00B3206B" w:rsidRPr="00D93C78" w:rsidRDefault="00B3206B" w:rsidP="00D93C78">
      <w:pPr>
        <w:pStyle w:val="BodyText"/>
        <w:rPr>
          <w:szCs w:val="24"/>
        </w:rPr>
      </w:pPr>
      <w:r w:rsidRPr="00D93C78">
        <w:rPr>
          <w:b/>
          <w:szCs w:val="24"/>
        </w:rPr>
        <w:t xml:space="preserve">VDCS:  </w:t>
      </w:r>
      <w:r w:rsidRPr="00D93C78">
        <w:rPr>
          <w:szCs w:val="24"/>
        </w:rPr>
        <w:t xml:space="preserve">In a study conducted similar to OECD Guideline 476, mouse lymphoma L5178Y cells were exposed to the test substance at concentrations of 0.22-1.0 μl/ml in the presence and absence of a rat liver metabolic activation system (Harbell, 1991). In the mutagenicity assay, cytotoxicity was observed at concentrations </w:t>
      </w:r>
      <w:r w:rsidRPr="00D93C78">
        <w:rPr>
          <w:szCs w:val="24"/>
          <w:u w:val="single"/>
        </w:rPr>
        <w:t>&gt;</w:t>
      </w:r>
      <w:r w:rsidRPr="00D93C78">
        <w:rPr>
          <w:szCs w:val="24"/>
        </w:rPr>
        <w:t xml:space="preserve"> 0.61 μl/ml.  Positive and negative controls responded appropriately.  No increase in the number of revertants was observed in the presence or absence of metabolic activation. The results indicate that the test substance was not mutagenic under the conditions of the test.</w:t>
      </w:r>
    </w:p>
    <w:p w:rsidR="00EC5CCD" w:rsidRPr="00D93C78" w:rsidRDefault="00EC5CCD" w:rsidP="00C53187">
      <w:pPr>
        <w:pStyle w:val="Heading9"/>
      </w:pPr>
      <w:r w:rsidRPr="00D93C78">
        <w:t>In Vivo Studies</w:t>
      </w:r>
    </w:p>
    <w:p w:rsidR="00EC5CCD" w:rsidRPr="00D93C78" w:rsidRDefault="00EC5CCD" w:rsidP="00D93C78">
      <w:pPr>
        <w:pStyle w:val="BodyText"/>
        <w:rPr>
          <w:b/>
          <w:szCs w:val="24"/>
        </w:rPr>
      </w:pPr>
      <w:r w:rsidRPr="00D93C78">
        <w:rPr>
          <w:b/>
          <w:i/>
          <w:szCs w:val="24"/>
        </w:rPr>
        <w:t>Supporting substance</w:t>
      </w:r>
    </w:p>
    <w:p w:rsidR="00EC5CCD" w:rsidRPr="00D93C78" w:rsidRDefault="00037B87" w:rsidP="00C53187">
      <w:r w:rsidRPr="00D93C78">
        <w:rPr>
          <w:b/>
        </w:rPr>
        <w:t>VTMS</w:t>
      </w:r>
      <w:r w:rsidR="00EC5CCD" w:rsidRPr="00D93C78">
        <w:rPr>
          <w:b/>
        </w:rPr>
        <w:t xml:space="preserve">: </w:t>
      </w:r>
      <w:r w:rsidRPr="00D93C78">
        <w:t xml:space="preserve"> The</w:t>
      </w:r>
      <w:r w:rsidR="00EC5CCD" w:rsidRPr="00D93C78">
        <w:rPr>
          <w:b/>
        </w:rPr>
        <w:t xml:space="preserve"> </w:t>
      </w:r>
      <w:r w:rsidR="00EC5CCD" w:rsidRPr="00D93C78">
        <w:t xml:space="preserve">test substance </w:t>
      </w:r>
      <w:r w:rsidRPr="00D93C78">
        <w:t xml:space="preserve">was negative in a reliable and valid </w:t>
      </w:r>
      <w:r w:rsidRPr="00D93C78">
        <w:rPr>
          <w:i/>
        </w:rPr>
        <w:t>in vivo</w:t>
      </w:r>
      <w:r w:rsidRPr="00D93C78">
        <w:t xml:space="preserve"> micronucleus assay</w:t>
      </w:r>
      <w:r w:rsidR="00EC5CCD" w:rsidRPr="00D93C78">
        <w:t xml:space="preserve"> (OECD 474)</w:t>
      </w:r>
    </w:p>
    <w:p w:rsidR="00C1433D" w:rsidRPr="00D93C78" w:rsidRDefault="00C1433D" w:rsidP="00740E9A">
      <w:pPr>
        <w:pStyle w:val="Heading8"/>
        <w:spacing w:before="240"/>
        <w:jc w:val="both"/>
      </w:pPr>
      <w:r w:rsidRPr="00D93C78">
        <w:t>Conclusion</w:t>
      </w:r>
    </w:p>
    <w:p w:rsidR="00EC5CCD" w:rsidRPr="00D93C78" w:rsidRDefault="001351D5" w:rsidP="00740E9A">
      <w:pPr>
        <w:pStyle w:val="BodyText"/>
        <w:ind w:right="248"/>
        <w:rPr>
          <w:szCs w:val="24"/>
        </w:rPr>
      </w:pPr>
      <w:r w:rsidRPr="00D93C78">
        <w:rPr>
          <w:b/>
          <w:szCs w:val="24"/>
        </w:rPr>
        <w:t>VTCS</w:t>
      </w:r>
      <w:r w:rsidR="00600122" w:rsidRPr="00D93C78">
        <w:rPr>
          <w:szCs w:val="24"/>
        </w:rPr>
        <w:t xml:space="preserve"> did not induce gene mutations in bacterial cells </w:t>
      </w:r>
      <w:r w:rsidRPr="00D93C78">
        <w:rPr>
          <w:szCs w:val="24"/>
        </w:rPr>
        <w:t>(</w:t>
      </w:r>
      <w:r w:rsidR="008809F8" w:rsidRPr="00D93C78">
        <w:rPr>
          <w:szCs w:val="24"/>
        </w:rPr>
        <w:t>OECD 471</w:t>
      </w:r>
      <w:r w:rsidRPr="00D93C78">
        <w:rPr>
          <w:szCs w:val="24"/>
        </w:rPr>
        <w:t xml:space="preserve">). </w:t>
      </w:r>
      <w:r w:rsidRPr="00D93C78">
        <w:rPr>
          <w:b/>
          <w:szCs w:val="24"/>
        </w:rPr>
        <w:t>VDCS</w:t>
      </w:r>
      <w:r w:rsidRPr="00D93C78">
        <w:rPr>
          <w:szCs w:val="24"/>
        </w:rPr>
        <w:t xml:space="preserve"> is considered mutagenic in </w:t>
      </w:r>
      <w:r w:rsidRPr="00D93C78">
        <w:rPr>
          <w:i/>
          <w:szCs w:val="24"/>
        </w:rPr>
        <w:t>Salmonella</w:t>
      </w:r>
      <w:r w:rsidRPr="00D93C78">
        <w:rPr>
          <w:szCs w:val="24"/>
        </w:rPr>
        <w:t xml:space="preserve"> strain TA 1535 </w:t>
      </w:r>
      <w:r w:rsidR="005728C8" w:rsidRPr="00D93C78">
        <w:rPr>
          <w:szCs w:val="24"/>
        </w:rPr>
        <w:t xml:space="preserve">in the presence of hamster microsomal enzyme </w:t>
      </w:r>
      <w:r w:rsidRPr="00D93C78">
        <w:rPr>
          <w:szCs w:val="24"/>
        </w:rPr>
        <w:t xml:space="preserve">with metabolic activation </w:t>
      </w:r>
      <w:r w:rsidR="005728C8" w:rsidRPr="00D93C78">
        <w:rPr>
          <w:szCs w:val="24"/>
        </w:rPr>
        <w:t xml:space="preserve">(reducing conditions) (OECD 471) </w:t>
      </w:r>
      <w:r w:rsidRPr="00D93C78">
        <w:rPr>
          <w:szCs w:val="24"/>
        </w:rPr>
        <w:t xml:space="preserve">and </w:t>
      </w:r>
      <w:r w:rsidR="005728C8" w:rsidRPr="00D93C78">
        <w:rPr>
          <w:szCs w:val="24"/>
        </w:rPr>
        <w:t xml:space="preserve">was </w:t>
      </w:r>
      <w:r w:rsidRPr="00D93C78">
        <w:rPr>
          <w:szCs w:val="24"/>
        </w:rPr>
        <w:t xml:space="preserve">negative in the </w:t>
      </w:r>
      <w:r w:rsidR="005728C8" w:rsidRPr="00D93C78">
        <w:rPr>
          <w:szCs w:val="24"/>
        </w:rPr>
        <w:t xml:space="preserve">presence and absence of rat liver S9 metabolic activation (OECD TG 471), negative in the </w:t>
      </w:r>
      <w:r w:rsidR="00B3206B" w:rsidRPr="00D93C78">
        <w:rPr>
          <w:szCs w:val="24"/>
        </w:rPr>
        <w:t>mouse lymphoma assay</w:t>
      </w:r>
      <w:r w:rsidR="00886955" w:rsidRPr="00D93C78">
        <w:rPr>
          <w:szCs w:val="24"/>
        </w:rPr>
        <w:t xml:space="preserve"> (OECD 476)</w:t>
      </w:r>
      <w:r w:rsidRPr="00D93C78">
        <w:rPr>
          <w:szCs w:val="24"/>
        </w:rPr>
        <w:t xml:space="preserve"> and negative for the induction of chromosome aberrations in mammalian cells</w:t>
      </w:r>
      <w:r w:rsidR="008809F8" w:rsidRPr="00D93C78">
        <w:rPr>
          <w:szCs w:val="24"/>
        </w:rPr>
        <w:t xml:space="preserve"> (OECD 473)</w:t>
      </w:r>
      <w:r w:rsidRPr="00D93C78">
        <w:rPr>
          <w:szCs w:val="24"/>
        </w:rPr>
        <w:t xml:space="preserve">. </w:t>
      </w:r>
      <w:r w:rsidR="00563556" w:rsidRPr="00D93C78">
        <w:rPr>
          <w:szCs w:val="24"/>
        </w:rPr>
        <w:t>The</w:t>
      </w:r>
      <w:r w:rsidR="00706D97" w:rsidRPr="00D93C78">
        <w:rPr>
          <w:szCs w:val="24"/>
        </w:rPr>
        <w:t xml:space="preserve"> hydrolysis product, HCl did not induce gene mutations in bacterial cells. </w:t>
      </w:r>
      <w:r w:rsidR="00245E67" w:rsidRPr="00D93C78">
        <w:rPr>
          <w:szCs w:val="24"/>
        </w:rPr>
        <w:t>P</w:t>
      </w:r>
      <w:r w:rsidR="00706D97" w:rsidRPr="00D93C78">
        <w:rPr>
          <w:szCs w:val="24"/>
        </w:rPr>
        <w:t xml:space="preserve">ositive results in the </w:t>
      </w:r>
      <w:r w:rsidR="00706D97" w:rsidRPr="00D93C78">
        <w:rPr>
          <w:i/>
          <w:szCs w:val="24"/>
        </w:rPr>
        <w:t>in vitro</w:t>
      </w:r>
      <w:r w:rsidR="00706D97" w:rsidRPr="00D93C78">
        <w:rPr>
          <w:szCs w:val="24"/>
        </w:rPr>
        <w:t xml:space="preserve"> chromosome aberration test with HCl were considered to be the effect of low pH.  </w:t>
      </w:r>
      <w:r w:rsidR="005728C8" w:rsidRPr="00D93C78">
        <w:rPr>
          <w:szCs w:val="24"/>
        </w:rPr>
        <w:t xml:space="preserve">VTMS was negative in a reliable and valid in vivo micronucleus assay (OECD TG 474).  </w:t>
      </w:r>
      <w:r w:rsidR="00037B87" w:rsidRPr="00D93C78">
        <w:rPr>
          <w:szCs w:val="24"/>
        </w:rPr>
        <w:t>The weight of evidence suggests that the Vinyl Chlorosilanes may not be genotoxic. However, the positive finding in one bacterial strain under reducing conditions leaves a residual uncertainty for gene mutation potential.</w:t>
      </w:r>
    </w:p>
    <w:p w:rsidR="00C1433D" w:rsidRPr="00D93C78" w:rsidRDefault="00C1433D" w:rsidP="00D93C78">
      <w:pPr>
        <w:pStyle w:val="Heading3"/>
        <w:numPr>
          <w:ilvl w:val="0"/>
          <w:numId w:val="0"/>
        </w:numPr>
        <w:tabs>
          <w:tab w:val="clear" w:pos="2160"/>
        </w:tabs>
        <w:jc w:val="both"/>
        <w:rPr>
          <w:rFonts w:ascii="Times New Roman" w:hAnsi="Times New Roman"/>
          <w:szCs w:val="24"/>
        </w:rPr>
      </w:pPr>
      <w:bookmarkStart w:id="139" w:name="_Toc32726035"/>
      <w:bookmarkStart w:id="140" w:name="_Toc32727218"/>
      <w:bookmarkStart w:id="141" w:name="_Toc43868666"/>
      <w:bookmarkStart w:id="142" w:name="_Toc200358254"/>
      <w:bookmarkStart w:id="143" w:name="_Toc310335194"/>
      <w:r w:rsidRPr="00D93C78">
        <w:rPr>
          <w:rFonts w:ascii="Times New Roman" w:hAnsi="Times New Roman"/>
          <w:szCs w:val="24"/>
        </w:rPr>
        <w:t>3.1.7</w:t>
      </w:r>
      <w:r w:rsidRPr="00D93C78">
        <w:rPr>
          <w:rFonts w:ascii="Times New Roman" w:hAnsi="Times New Roman"/>
          <w:szCs w:val="24"/>
        </w:rPr>
        <w:tab/>
        <w:t>Carcinogenicity</w:t>
      </w:r>
      <w:bookmarkEnd w:id="139"/>
      <w:bookmarkEnd w:id="140"/>
      <w:bookmarkEnd w:id="141"/>
      <w:bookmarkEnd w:id="142"/>
      <w:bookmarkEnd w:id="143"/>
    </w:p>
    <w:p w:rsidR="00C1433D" w:rsidRPr="00D93C78" w:rsidRDefault="00C1433D" w:rsidP="00D93C78">
      <w:pPr>
        <w:pStyle w:val="BodyText"/>
        <w:rPr>
          <w:szCs w:val="24"/>
        </w:rPr>
      </w:pPr>
      <w:r w:rsidRPr="00D93C78">
        <w:rPr>
          <w:szCs w:val="24"/>
        </w:rPr>
        <w:t>No data available.</w:t>
      </w:r>
    </w:p>
    <w:p w:rsidR="00C1433D" w:rsidRPr="00D93C78" w:rsidRDefault="00C1433D" w:rsidP="00D93C78">
      <w:pPr>
        <w:pStyle w:val="Heading3"/>
        <w:numPr>
          <w:ilvl w:val="0"/>
          <w:numId w:val="0"/>
        </w:numPr>
        <w:tabs>
          <w:tab w:val="clear" w:pos="2160"/>
        </w:tabs>
        <w:jc w:val="both"/>
        <w:rPr>
          <w:rFonts w:ascii="Times New Roman" w:hAnsi="Times New Roman"/>
          <w:szCs w:val="24"/>
        </w:rPr>
      </w:pPr>
      <w:bookmarkStart w:id="144" w:name="_Toc32726036"/>
      <w:bookmarkStart w:id="145" w:name="_Toc32727219"/>
      <w:bookmarkStart w:id="146" w:name="_Toc43868667"/>
      <w:bookmarkStart w:id="147" w:name="_Toc200358255"/>
      <w:bookmarkStart w:id="148" w:name="_Toc310335195"/>
      <w:r w:rsidRPr="00D93C78">
        <w:rPr>
          <w:rFonts w:ascii="Times New Roman" w:hAnsi="Times New Roman"/>
          <w:szCs w:val="24"/>
        </w:rPr>
        <w:t>3.1.8</w:t>
      </w:r>
      <w:r w:rsidRPr="00D93C78">
        <w:rPr>
          <w:rFonts w:ascii="Times New Roman" w:hAnsi="Times New Roman"/>
          <w:szCs w:val="24"/>
        </w:rPr>
        <w:tab/>
        <w:t>Toxicity for Reproduction</w:t>
      </w:r>
      <w:bookmarkEnd w:id="144"/>
      <w:bookmarkEnd w:id="145"/>
      <w:bookmarkEnd w:id="146"/>
      <w:bookmarkEnd w:id="147"/>
      <w:bookmarkEnd w:id="148"/>
    </w:p>
    <w:p w:rsidR="00C1433D" w:rsidRPr="00D93C78" w:rsidRDefault="00C1433D" w:rsidP="00740E9A">
      <w:pPr>
        <w:pStyle w:val="BodyText"/>
        <w:rPr>
          <w:szCs w:val="24"/>
        </w:rPr>
      </w:pPr>
      <w:r w:rsidRPr="00D93C78">
        <w:rPr>
          <w:szCs w:val="24"/>
        </w:rPr>
        <w:t xml:space="preserve">Toxicity for reproduction data for </w:t>
      </w:r>
      <w:r w:rsidR="00515364" w:rsidRPr="00D93C78">
        <w:rPr>
          <w:szCs w:val="24"/>
        </w:rPr>
        <w:t xml:space="preserve">the </w:t>
      </w:r>
      <w:r w:rsidR="00981C8E" w:rsidRPr="00D93C78">
        <w:rPr>
          <w:szCs w:val="24"/>
        </w:rPr>
        <w:t>vinyl</w:t>
      </w:r>
      <w:r w:rsidR="00413FFD" w:rsidRPr="00D93C78">
        <w:rPr>
          <w:szCs w:val="24"/>
        </w:rPr>
        <w:t xml:space="preserve"> chlorosilanes</w:t>
      </w:r>
      <w:r w:rsidR="00FB289A" w:rsidRPr="00D93C78">
        <w:rPr>
          <w:szCs w:val="24"/>
        </w:rPr>
        <w:t xml:space="preserve"> </w:t>
      </w:r>
      <w:r w:rsidR="00E21A43" w:rsidRPr="00D93C78">
        <w:rPr>
          <w:szCs w:val="24"/>
        </w:rPr>
        <w:t>is</w:t>
      </w:r>
      <w:r w:rsidRPr="00D93C78">
        <w:rPr>
          <w:szCs w:val="24"/>
        </w:rPr>
        <w:t xml:space="preserve"> not available; however, data are available for the </w:t>
      </w:r>
      <w:r w:rsidR="00563556" w:rsidRPr="00D93C78">
        <w:rPr>
          <w:szCs w:val="24"/>
        </w:rPr>
        <w:t>supporting</w:t>
      </w:r>
      <w:r w:rsidR="00706D97" w:rsidRPr="00D93C78">
        <w:rPr>
          <w:szCs w:val="24"/>
        </w:rPr>
        <w:t xml:space="preserve"> substance, </w:t>
      </w:r>
      <w:r w:rsidR="00981C8E" w:rsidRPr="00D93C78">
        <w:rPr>
          <w:szCs w:val="24"/>
        </w:rPr>
        <w:t>V</w:t>
      </w:r>
      <w:r w:rsidR="00563556" w:rsidRPr="00D93C78">
        <w:rPr>
          <w:szCs w:val="24"/>
        </w:rPr>
        <w:t xml:space="preserve">TMS, </w:t>
      </w:r>
      <w:r w:rsidR="00981C8E" w:rsidRPr="00D93C78">
        <w:rPr>
          <w:szCs w:val="24"/>
        </w:rPr>
        <w:t>and</w:t>
      </w:r>
      <w:r w:rsidR="00706D97" w:rsidRPr="00D93C78">
        <w:rPr>
          <w:szCs w:val="24"/>
        </w:rPr>
        <w:t xml:space="preserve"> the </w:t>
      </w:r>
      <w:r w:rsidRPr="00D93C78">
        <w:rPr>
          <w:szCs w:val="24"/>
        </w:rPr>
        <w:t>hydrolysis product</w:t>
      </w:r>
      <w:r w:rsidR="00706D97" w:rsidRPr="00D93C78">
        <w:rPr>
          <w:szCs w:val="24"/>
        </w:rPr>
        <w:t>, HCl</w:t>
      </w:r>
      <w:r w:rsidR="001D499A" w:rsidRPr="00D93C78">
        <w:rPr>
          <w:szCs w:val="24"/>
        </w:rPr>
        <w:t>.</w:t>
      </w:r>
      <w:r w:rsidR="00186078" w:rsidRPr="00D93C78">
        <w:rPr>
          <w:szCs w:val="24"/>
        </w:rPr>
        <w:t xml:space="preserve"> In aqueous systems, the supporting substances VTMS will generate methanol has a hydrolysis product. At the concentrations of this supporting substances tested, the contributions from the meth</w:t>
      </w:r>
      <w:r w:rsidR="00377541" w:rsidRPr="00D93C78">
        <w:rPr>
          <w:szCs w:val="24"/>
        </w:rPr>
        <w:t>a</w:t>
      </w:r>
      <w:r w:rsidR="00186078" w:rsidRPr="00D93C78">
        <w:rPr>
          <w:szCs w:val="24"/>
        </w:rPr>
        <w:t>nol is not clear however it is not considered to have had significant impact.  Methan</w:t>
      </w:r>
      <w:r w:rsidR="00740E9A">
        <w:rPr>
          <w:szCs w:val="24"/>
        </w:rPr>
        <w:t xml:space="preserve">ol has been previously assessed </w:t>
      </w:r>
      <w:r w:rsidR="00186078" w:rsidRPr="00D93C78">
        <w:rPr>
          <w:szCs w:val="24"/>
        </w:rPr>
        <w:t>in the OECD HPV SIDS Programme</w:t>
      </w:r>
      <w:r w:rsidR="00740E9A">
        <w:rPr>
          <w:szCs w:val="24"/>
        </w:rPr>
        <w:t xml:space="preserve"> </w:t>
      </w:r>
      <w:r w:rsidR="00186078" w:rsidRPr="00D93C78">
        <w:rPr>
          <w:szCs w:val="24"/>
        </w:rPr>
        <w:t>(</w:t>
      </w:r>
      <w:hyperlink r:id="rId42" w:history="1">
        <w:r w:rsidR="00186078" w:rsidRPr="00D93C78">
          <w:rPr>
            <w:rStyle w:val="Hyperlink"/>
            <w:sz w:val="24"/>
            <w:szCs w:val="24"/>
          </w:rPr>
          <w:t>http://webnet.oecd.org/HPV/UI/SIDS_Details.aspx?Key=3f0e5101-019d-4f22-b27c-69bebf217adb&amp;idx=0</w:t>
        </w:r>
      </w:hyperlink>
      <w:r w:rsidR="00186078" w:rsidRPr="00D93C78">
        <w:rPr>
          <w:szCs w:val="24"/>
        </w:rPr>
        <w:t>)</w:t>
      </w:r>
    </w:p>
    <w:p w:rsidR="00C1433D" w:rsidRPr="00D93C78" w:rsidRDefault="00C1433D" w:rsidP="00D93C78">
      <w:pPr>
        <w:pStyle w:val="Heading8"/>
        <w:jc w:val="both"/>
      </w:pPr>
      <w:r w:rsidRPr="00D93C78">
        <w:t>Studies in Animals</w:t>
      </w:r>
    </w:p>
    <w:p w:rsidR="00C1433D" w:rsidRPr="00D93C78" w:rsidRDefault="00C1433D" w:rsidP="00D93C78">
      <w:pPr>
        <w:pStyle w:val="Heading9"/>
        <w:jc w:val="both"/>
      </w:pPr>
      <w:r w:rsidRPr="00D93C78">
        <w:t>Effects on Fertility</w:t>
      </w:r>
    </w:p>
    <w:p w:rsidR="001D499A" w:rsidRPr="00D93C78" w:rsidRDefault="007877D7" w:rsidP="00D93C78">
      <w:pPr>
        <w:pStyle w:val="BodyText"/>
        <w:rPr>
          <w:b/>
          <w:szCs w:val="24"/>
        </w:rPr>
      </w:pPr>
      <w:r w:rsidRPr="00D93C78">
        <w:rPr>
          <w:b/>
          <w:szCs w:val="24"/>
        </w:rPr>
        <w:t>Supporting</w:t>
      </w:r>
      <w:r w:rsidR="00706D97" w:rsidRPr="00D93C78">
        <w:rPr>
          <w:b/>
          <w:szCs w:val="24"/>
        </w:rPr>
        <w:t xml:space="preserve"> substance: </w:t>
      </w:r>
    </w:p>
    <w:p w:rsidR="00594238" w:rsidRPr="00D93C78" w:rsidRDefault="00981C8E" w:rsidP="00D93C78">
      <w:pPr>
        <w:pStyle w:val="BodyText"/>
        <w:tabs>
          <w:tab w:val="left" w:pos="6270"/>
        </w:tabs>
        <w:rPr>
          <w:b/>
          <w:szCs w:val="24"/>
        </w:rPr>
      </w:pPr>
      <w:r w:rsidRPr="00D93C78">
        <w:rPr>
          <w:b/>
          <w:szCs w:val="24"/>
        </w:rPr>
        <w:t>V</w:t>
      </w:r>
      <w:r w:rsidR="001D499A" w:rsidRPr="00D93C78">
        <w:rPr>
          <w:b/>
          <w:szCs w:val="24"/>
        </w:rPr>
        <w:t>TMS</w:t>
      </w:r>
      <w:r w:rsidR="00D44F62" w:rsidRPr="00D93C78">
        <w:rPr>
          <w:b/>
          <w:szCs w:val="24"/>
        </w:rPr>
        <w:t>:</w:t>
      </w:r>
      <w:r w:rsidR="00A311DA" w:rsidRPr="00D93C78">
        <w:rPr>
          <w:b/>
          <w:szCs w:val="24"/>
        </w:rPr>
        <w:t xml:space="preserve"> </w:t>
      </w:r>
      <w:r w:rsidRPr="00D93C78">
        <w:rPr>
          <w:szCs w:val="24"/>
        </w:rPr>
        <w:t>In the combined repeated-dose/reproductive/developmental toxicity screening test [OECD TG 422], there were no effects on reproductive performance of parental rats when VTMS was administered by oral gavage. The NOAEL was 1000 mg/kg bw/day for males, and 250 mg/kg bw/day for females (based on a reduced number of estrous cases)</w:t>
      </w:r>
      <w:r w:rsidR="007F06F1" w:rsidRPr="00D93C78">
        <w:rPr>
          <w:szCs w:val="24"/>
        </w:rPr>
        <w:t xml:space="preserve"> (</w:t>
      </w:r>
      <w:hyperlink r:id="rId43" w:history="1">
        <w:r w:rsidR="00C62D6F" w:rsidRPr="00D93C78">
          <w:rPr>
            <w:rStyle w:val="Hyperlink"/>
            <w:sz w:val="24"/>
            <w:szCs w:val="24"/>
          </w:rPr>
          <w:t>http://www.oecd.org/env/hazard/data</w:t>
        </w:r>
      </w:hyperlink>
      <w:r w:rsidR="007F06F1" w:rsidRPr="00D93C78">
        <w:rPr>
          <w:szCs w:val="24"/>
        </w:rPr>
        <w:t>)</w:t>
      </w:r>
      <w:r w:rsidRPr="00D93C78">
        <w:rPr>
          <w:szCs w:val="24"/>
        </w:rPr>
        <w:t xml:space="preserve">. </w:t>
      </w:r>
    </w:p>
    <w:p w:rsidR="00D6443B" w:rsidRPr="00D93C78" w:rsidRDefault="00706D97" w:rsidP="00D93C78">
      <w:pPr>
        <w:pStyle w:val="BodyText"/>
        <w:rPr>
          <w:b/>
          <w:szCs w:val="24"/>
        </w:rPr>
      </w:pPr>
      <w:r w:rsidRPr="00D93C78">
        <w:rPr>
          <w:b/>
          <w:szCs w:val="24"/>
        </w:rPr>
        <w:t xml:space="preserve">Hydrolysis product: </w:t>
      </w:r>
    </w:p>
    <w:p w:rsidR="00C1433D" w:rsidRPr="00D93C78" w:rsidRDefault="00C1433D" w:rsidP="00D93C78">
      <w:pPr>
        <w:pStyle w:val="BodyText"/>
        <w:spacing w:before="240"/>
        <w:rPr>
          <w:szCs w:val="24"/>
        </w:rPr>
      </w:pPr>
      <w:r w:rsidRPr="00D93C78">
        <w:rPr>
          <w:b/>
          <w:szCs w:val="24"/>
        </w:rPr>
        <w:t>HCl</w:t>
      </w:r>
      <w:r w:rsidR="00D44F62" w:rsidRPr="00D93C78">
        <w:rPr>
          <w:b/>
          <w:szCs w:val="24"/>
        </w:rPr>
        <w:t>:</w:t>
      </w:r>
      <w:r w:rsidRPr="00D93C78">
        <w:rPr>
          <w:szCs w:val="24"/>
        </w:rPr>
        <w:t xml:space="preserve"> No reliable studies have been reported regarding toxicity to reproduction and development in animals after oral, dermal or inhalation exposure to hydrogen chloride/hydrochloric acid.  Because </w:t>
      </w:r>
      <w:r w:rsidR="00F13F00" w:rsidRPr="00D93C78">
        <w:rPr>
          <w:szCs w:val="24"/>
        </w:rPr>
        <w:t xml:space="preserve">the </w:t>
      </w:r>
      <w:r w:rsidRPr="00D93C78">
        <w:rPr>
          <w:szCs w:val="24"/>
        </w:rPr>
        <w:t>proton</w:t>
      </w:r>
      <w:r w:rsidR="00F13F00" w:rsidRPr="00D93C78">
        <w:rPr>
          <w:szCs w:val="24"/>
        </w:rPr>
        <w:t xml:space="preserve"> (H</w:t>
      </w:r>
      <w:r w:rsidR="00F13F00" w:rsidRPr="00D93C78">
        <w:rPr>
          <w:szCs w:val="24"/>
          <w:vertAlign w:val="superscript"/>
        </w:rPr>
        <w:t>+</w:t>
      </w:r>
      <w:r w:rsidR="00F13F00" w:rsidRPr="00D93C78">
        <w:rPr>
          <w:szCs w:val="24"/>
        </w:rPr>
        <w:t>)</w:t>
      </w:r>
      <w:r w:rsidRPr="00D93C78">
        <w:rPr>
          <w:szCs w:val="24"/>
        </w:rPr>
        <w:t xml:space="preserve"> and chloride </w:t>
      </w:r>
      <w:r w:rsidR="00F13F00" w:rsidRPr="00D93C78">
        <w:rPr>
          <w:szCs w:val="24"/>
        </w:rPr>
        <w:t>(Cl</w:t>
      </w:r>
      <w:r w:rsidR="00F13F00" w:rsidRPr="00D93C78">
        <w:rPr>
          <w:szCs w:val="24"/>
          <w:vertAlign w:val="superscript"/>
        </w:rPr>
        <w:t>-</w:t>
      </w:r>
      <w:r w:rsidR="00F13F00" w:rsidRPr="00D93C78">
        <w:rPr>
          <w:szCs w:val="24"/>
        </w:rPr>
        <w:t xml:space="preserve">) </w:t>
      </w:r>
      <w:r w:rsidRPr="00D93C78">
        <w:rPr>
          <w:szCs w:val="24"/>
        </w:rPr>
        <w:t>ion</w:t>
      </w:r>
      <w:r w:rsidR="00F13F00" w:rsidRPr="00D93C78">
        <w:rPr>
          <w:szCs w:val="24"/>
        </w:rPr>
        <w:t>s</w:t>
      </w:r>
      <w:r w:rsidRPr="00D93C78">
        <w:rPr>
          <w:szCs w:val="24"/>
        </w:rPr>
        <w:t xml:space="preserve"> are the normal constituents in the body fluid of animal species, lower concentration of hydrogen chloride gas/mist or solution does not seem to cause adverse effects to animals.  In addition, no effects on the gonads were observed in a 90-day inhalation repeated-dose study up to concentrations of 0.073 mg/L</w:t>
      </w:r>
      <w:r w:rsidR="00C62D6F" w:rsidRPr="00D93C78">
        <w:rPr>
          <w:szCs w:val="24"/>
        </w:rPr>
        <w:t xml:space="preserve"> (</w:t>
      </w:r>
      <w:hyperlink r:id="rId44" w:history="1">
        <w:r w:rsidR="00C62D6F" w:rsidRPr="00D93C78">
          <w:rPr>
            <w:rStyle w:val="Hyperlink"/>
            <w:sz w:val="24"/>
            <w:szCs w:val="24"/>
          </w:rPr>
          <w:t>http://www.oecd.org/env/hazard/data</w:t>
        </w:r>
      </w:hyperlink>
      <w:r w:rsidR="00C62D6F" w:rsidRPr="00D93C78">
        <w:rPr>
          <w:szCs w:val="24"/>
        </w:rPr>
        <w:t>)</w:t>
      </w:r>
      <w:r w:rsidRPr="00D93C78">
        <w:rPr>
          <w:szCs w:val="24"/>
        </w:rPr>
        <w:t>.</w:t>
      </w:r>
    </w:p>
    <w:p w:rsidR="00C1433D" w:rsidRPr="00D93C78" w:rsidRDefault="00C1433D" w:rsidP="00D93C78">
      <w:pPr>
        <w:pStyle w:val="Heading9"/>
        <w:jc w:val="both"/>
      </w:pPr>
      <w:r w:rsidRPr="00D93C78">
        <w:t>Developmental Toxicity</w:t>
      </w:r>
    </w:p>
    <w:p w:rsidR="001D499A" w:rsidRPr="00D93C78" w:rsidRDefault="007877D7" w:rsidP="00D93C78">
      <w:pPr>
        <w:pStyle w:val="BodyText"/>
        <w:rPr>
          <w:b/>
          <w:szCs w:val="24"/>
        </w:rPr>
      </w:pPr>
      <w:r w:rsidRPr="00D93C78">
        <w:rPr>
          <w:b/>
          <w:szCs w:val="24"/>
        </w:rPr>
        <w:t>Supporting</w:t>
      </w:r>
      <w:r w:rsidR="001D499A" w:rsidRPr="00D93C78">
        <w:rPr>
          <w:b/>
          <w:szCs w:val="24"/>
        </w:rPr>
        <w:t xml:space="preserve"> substance: </w:t>
      </w:r>
    </w:p>
    <w:p w:rsidR="009A2385" w:rsidRPr="00D93C78" w:rsidRDefault="00981C8E" w:rsidP="00D93C78">
      <w:pPr>
        <w:pStyle w:val="BodyText"/>
        <w:tabs>
          <w:tab w:val="left" w:pos="6270"/>
        </w:tabs>
        <w:rPr>
          <w:szCs w:val="24"/>
        </w:rPr>
      </w:pPr>
      <w:r w:rsidRPr="00D93C78">
        <w:rPr>
          <w:b/>
          <w:szCs w:val="24"/>
        </w:rPr>
        <w:t>V</w:t>
      </w:r>
      <w:r w:rsidR="001D499A" w:rsidRPr="00D93C78">
        <w:rPr>
          <w:b/>
          <w:szCs w:val="24"/>
        </w:rPr>
        <w:t>TMS</w:t>
      </w:r>
      <w:r w:rsidR="00D44F62" w:rsidRPr="00D93C78">
        <w:rPr>
          <w:b/>
          <w:szCs w:val="24"/>
        </w:rPr>
        <w:t>:</w:t>
      </w:r>
      <w:r w:rsidR="00D6443B" w:rsidRPr="00D93C78">
        <w:rPr>
          <w:b/>
          <w:szCs w:val="24"/>
        </w:rPr>
        <w:t xml:space="preserve"> </w:t>
      </w:r>
      <w:r w:rsidRPr="00D93C78">
        <w:rPr>
          <w:szCs w:val="24"/>
        </w:rPr>
        <w:t>In the combined repeated-dose/reproductive/developmental toxicity screening test [OECD TG 422], there were no effects on developmental parameters; the NOAEL for developmental effects was 1000 mg/kg bw. VTMS did not show any effects on the</w:t>
      </w:r>
      <w:r w:rsidR="006421E7" w:rsidRPr="00D93C78">
        <w:rPr>
          <w:szCs w:val="24"/>
        </w:rPr>
        <w:t xml:space="preserve"> </w:t>
      </w:r>
      <w:r w:rsidRPr="00D93C78">
        <w:rPr>
          <w:szCs w:val="24"/>
        </w:rPr>
        <w:t>reproductive organs in the 14-week repeated-dose toxicity study via inhalation. In the OECD TG 422 study, no effects were seen on the developmental parameters when VTMS was administered orally; the NOAEL for developmental toxicity was 1000 mg/kg bw/day. Exposure of pregnant rats to VTMS by inhalation during organogenesis resulted in a NOAEC of 0.15 mg/L for maternal toxicity. There was evidence of slightly delayed skeletal ossification in fetuses from the 1.8 mg/L group</w:t>
      </w:r>
      <w:r w:rsidR="00ED7E15" w:rsidRPr="00D93C78">
        <w:rPr>
          <w:szCs w:val="24"/>
        </w:rPr>
        <w:t>, a dose with observed maternal toxicity</w:t>
      </w:r>
      <w:r w:rsidRPr="00D93C78">
        <w:rPr>
          <w:szCs w:val="24"/>
        </w:rPr>
        <w:t>; the NOAEC for developmental effects was 0.60 mg/L</w:t>
      </w:r>
      <w:r w:rsidR="007F06F1" w:rsidRPr="00D93C78">
        <w:rPr>
          <w:szCs w:val="24"/>
        </w:rPr>
        <w:t xml:space="preserve"> (</w:t>
      </w:r>
      <w:hyperlink r:id="rId45" w:history="1">
        <w:r w:rsidR="00C62D6F" w:rsidRPr="00D93C78">
          <w:rPr>
            <w:rStyle w:val="Hyperlink"/>
            <w:sz w:val="24"/>
            <w:szCs w:val="24"/>
          </w:rPr>
          <w:t>http://www.oecd.org/env/hazard/data</w:t>
        </w:r>
      </w:hyperlink>
      <w:r w:rsidR="007F06F1" w:rsidRPr="00D93C78">
        <w:rPr>
          <w:szCs w:val="24"/>
        </w:rPr>
        <w:t>)</w:t>
      </w:r>
      <w:r w:rsidRPr="00D93C78">
        <w:rPr>
          <w:szCs w:val="24"/>
        </w:rPr>
        <w:t>.</w:t>
      </w:r>
    </w:p>
    <w:p w:rsidR="007877D7" w:rsidRPr="00D93C78" w:rsidRDefault="00952B2E" w:rsidP="00D93C78">
      <w:pPr>
        <w:pStyle w:val="BodyText"/>
        <w:tabs>
          <w:tab w:val="left" w:pos="6270"/>
        </w:tabs>
        <w:rPr>
          <w:b/>
          <w:szCs w:val="24"/>
        </w:rPr>
      </w:pPr>
      <w:r w:rsidRPr="00D93C78">
        <w:rPr>
          <w:b/>
          <w:szCs w:val="24"/>
        </w:rPr>
        <w:t xml:space="preserve">Hydrolysis product: </w:t>
      </w:r>
    </w:p>
    <w:p w:rsidR="00C1433D" w:rsidRPr="00D93C78" w:rsidRDefault="00C1433D" w:rsidP="00D93C78">
      <w:pPr>
        <w:pStyle w:val="BodyText"/>
        <w:spacing w:before="240"/>
        <w:rPr>
          <w:szCs w:val="24"/>
        </w:rPr>
      </w:pPr>
      <w:r w:rsidRPr="00D93C78">
        <w:rPr>
          <w:b/>
          <w:szCs w:val="24"/>
        </w:rPr>
        <w:t>HCl</w:t>
      </w:r>
      <w:r w:rsidR="00D44F62" w:rsidRPr="00D93C78">
        <w:rPr>
          <w:b/>
          <w:szCs w:val="24"/>
        </w:rPr>
        <w:t>:</w:t>
      </w:r>
      <w:r w:rsidRPr="00D93C78">
        <w:rPr>
          <w:szCs w:val="24"/>
        </w:rPr>
        <w:t xml:space="preserve"> No reliable studies have been reported regarding toxicity to reproduction and development in animals after oral, dermal or inhalation exposure to hydrogen chloride/hydrochloric acid.  Because </w:t>
      </w:r>
      <w:r w:rsidR="00F13F00" w:rsidRPr="00D93C78">
        <w:rPr>
          <w:szCs w:val="24"/>
        </w:rPr>
        <w:t xml:space="preserve">the </w:t>
      </w:r>
      <w:r w:rsidRPr="00D93C78">
        <w:rPr>
          <w:szCs w:val="24"/>
        </w:rPr>
        <w:t>proton</w:t>
      </w:r>
      <w:r w:rsidR="00F13F00" w:rsidRPr="00D93C78">
        <w:rPr>
          <w:szCs w:val="24"/>
        </w:rPr>
        <w:t xml:space="preserve"> (H</w:t>
      </w:r>
      <w:r w:rsidR="00F13F00" w:rsidRPr="00D93C78">
        <w:rPr>
          <w:szCs w:val="24"/>
          <w:vertAlign w:val="superscript"/>
        </w:rPr>
        <w:t>+</w:t>
      </w:r>
      <w:r w:rsidR="00F13F00" w:rsidRPr="00D93C78">
        <w:rPr>
          <w:szCs w:val="24"/>
        </w:rPr>
        <w:t>)</w:t>
      </w:r>
      <w:r w:rsidRPr="00D93C78">
        <w:rPr>
          <w:szCs w:val="24"/>
        </w:rPr>
        <w:t xml:space="preserve"> and chloride </w:t>
      </w:r>
      <w:r w:rsidR="00F13F00" w:rsidRPr="00D93C78">
        <w:rPr>
          <w:szCs w:val="24"/>
        </w:rPr>
        <w:t>(Cl</w:t>
      </w:r>
      <w:r w:rsidR="00F13F00" w:rsidRPr="00D93C78">
        <w:rPr>
          <w:szCs w:val="24"/>
          <w:vertAlign w:val="superscript"/>
        </w:rPr>
        <w:t>-</w:t>
      </w:r>
      <w:r w:rsidR="00F13F00" w:rsidRPr="00D93C78">
        <w:rPr>
          <w:szCs w:val="24"/>
        </w:rPr>
        <w:t xml:space="preserve">) </w:t>
      </w:r>
      <w:r w:rsidRPr="00D93C78">
        <w:rPr>
          <w:szCs w:val="24"/>
        </w:rPr>
        <w:t>ion</w:t>
      </w:r>
      <w:r w:rsidR="00F13F00" w:rsidRPr="00D93C78">
        <w:rPr>
          <w:szCs w:val="24"/>
        </w:rPr>
        <w:t>s</w:t>
      </w:r>
      <w:r w:rsidRPr="00D93C78">
        <w:rPr>
          <w:szCs w:val="24"/>
        </w:rPr>
        <w:t xml:space="preserve"> are the normal constituents in the body fluid of animal species, lower concentration of hydrogen chloride gas/mist or solution does not seem to cause adverse effects to animals.  In fact, the cells of gastric glands secrets hydrochloric acid into the cavity of stomach and orally administered sulfuric acid, which result in pH change as well, did not cause developmental toxicity to laboratory animals.  These facts indicate that hydrogen chloride/</w:t>
      </w:r>
      <w:r w:rsidR="00CC3368" w:rsidRPr="00D93C78">
        <w:rPr>
          <w:szCs w:val="24"/>
        </w:rPr>
        <w:t xml:space="preserve"> </w:t>
      </w:r>
      <w:r w:rsidRPr="00D93C78">
        <w:rPr>
          <w:szCs w:val="24"/>
        </w:rPr>
        <w:t>hydrochloric acid is not expected to have developmental toxicity</w:t>
      </w:r>
      <w:r w:rsidR="00C62D6F" w:rsidRPr="00D93C78">
        <w:rPr>
          <w:szCs w:val="24"/>
        </w:rPr>
        <w:t xml:space="preserve"> (</w:t>
      </w:r>
      <w:hyperlink r:id="rId46" w:history="1">
        <w:r w:rsidR="00C62D6F" w:rsidRPr="00D93C78">
          <w:rPr>
            <w:rStyle w:val="Hyperlink"/>
            <w:sz w:val="24"/>
            <w:szCs w:val="24"/>
          </w:rPr>
          <w:t>http://www.oecd.org/env/hazard/data</w:t>
        </w:r>
      </w:hyperlink>
      <w:r w:rsidR="00C62D6F" w:rsidRPr="00D93C78">
        <w:rPr>
          <w:szCs w:val="24"/>
        </w:rPr>
        <w:t>)</w:t>
      </w:r>
      <w:r w:rsidRPr="00D93C78">
        <w:rPr>
          <w:szCs w:val="24"/>
        </w:rPr>
        <w:t xml:space="preserve">. </w:t>
      </w:r>
    </w:p>
    <w:p w:rsidR="00C1433D" w:rsidRPr="00D93C78" w:rsidRDefault="00C1433D" w:rsidP="00D93C78">
      <w:pPr>
        <w:pStyle w:val="Heading8"/>
        <w:jc w:val="both"/>
      </w:pPr>
      <w:r w:rsidRPr="00D93C78">
        <w:t>Conclusion</w:t>
      </w:r>
    </w:p>
    <w:p w:rsidR="00D6443B" w:rsidRPr="00D93C78" w:rsidRDefault="00C1433D" w:rsidP="00D93C78">
      <w:pPr>
        <w:pStyle w:val="BodyText"/>
        <w:rPr>
          <w:szCs w:val="24"/>
        </w:rPr>
      </w:pPr>
      <w:r w:rsidRPr="00D93C78">
        <w:rPr>
          <w:szCs w:val="24"/>
        </w:rPr>
        <w:t xml:space="preserve">No data are available on the reproductive toxicity of </w:t>
      </w:r>
      <w:r w:rsidR="00515364" w:rsidRPr="00D93C78">
        <w:rPr>
          <w:szCs w:val="24"/>
        </w:rPr>
        <w:t xml:space="preserve">the </w:t>
      </w:r>
      <w:r w:rsidR="00981C8E" w:rsidRPr="00D93C78">
        <w:rPr>
          <w:szCs w:val="24"/>
        </w:rPr>
        <w:t>vinyl</w:t>
      </w:r>
      <w:r w:rsidR="00515364" w:rsidRPr="00D93C78">
        <w:rPr>
          <w:szCs w:val="24"/>
        </w:rPr>
        <w:t xml:space="preserve"> chlorosilanes</w:t>
      </w:r>
      <w:r w:rsidR="00594238" w:rsidRPr="00D93C78">
        <w:rPr>
          <w:szCs w:val="24"/>
        </w:rPr>
        <w:t>; d</w:t>
      </w:r>
      <w:r w:rsidRPr="00D93C78">
        <w:rPr>
          <w:szCs w:val="24"/>
        </w:rPr>
        <w:t xml:space="preserve">ata are available for </w:t>
      </w:r>
      <w:r w:rsidR="00511129" w:rsidRPr="00D93C78">
        <w:rPr>
          <w:szCs w:val="24"/>
        </w:rPr>
        <w:t xml:space="preserve">the </w:t>
      </w:r>
      <w:r w:rsidR="00594238" w:rsidRPr="00D93C78">
        <w:rPr>
          <w:szCs w:val="24"/>
        </w:rPr>
        <w:t>supporting</w:t>
      </w:r>
      <w:r w:rsidR="00511129" w:rsidRPr="00D93C78">
        <w:rPr>
          <w:szCs w:val="24"/>
        </w:rPr>
        <w:t xml:space="preserve"> substance, </w:t>
      </w:r>
      <w:r w:rsidR="00981C8E" w:rsidRPr="00D93C78">
        <w:rPr>
          <w:szCs w:val="24"/>
        </w:rPr>
        <w:t>V</w:t>
      </w:r>
      <w:r w:rsidR="00594238" w:rsidRPr="00D93C78">
        <w:rPr>
          <w:szCs w:val="24"/>
        </w:rPr>
        <w:t>TMS</w:t>
      </w:r>
      <w:r w:rsidR="00D6443B" w:rsidRPr="00D93C78">
        <w:rPr>
          <w:szCs w:val="24"/>
        </w:rPr>
        <w:t xml:space="preserve"> </w:t>
      </w:r>
      <w:r w:rsidR="00511129" w:rsidRPr="00D93C78">
        <w:rPr>
          <w:szCs w:val="24"/>
        </w:rPr>
        <w:t>and the hydrolysis product</w:t>
      </w:r>
      <w:r w:rsidRPr="00D93C78">
        <w:rPr>
          <w:szCs w:val="24"/>
        </w:rPr>
        <w:t>, HCl.</w:t>
      </w:r>
    </w:p>
    <w:p w:rsidR="00594238" w:rsidRPr="00D93C78" w:rsidRDefault="00981C8E" w:rsidP="00D93C78">
      <w:pPr>
        <w:pStyle w:val="BodyText"/>
        <w:rPr>
          <w:szCs w:val="24"/>
        </w:rPr>
      </w:pPr>
      <w:r w:rsidRPr="00D93C78">
        <w:rPr>
          <w:szCs w:val="24"/>
        </w:rPr>
        <w:t xml:space="preserve">In the combined repeated-dose/reproductive/developmental toxicity screening test [OECD TG 422], there were no effects on reproductive performance of parental rats when VTMS was administered by oral gavage. The NOAEL was 1000 mg/kg bw/day for males, and 250 mg/kg bw/day for females (based on a reduced number of estrous cases). There were no effects on developmental parameters; the NOAEL for developmental effects was 1000 mg/kg bw. Exposure of pregnant rats to VTMS by inhalation </w:t>
      </w:r>
      <w:r w:rsidR="005728C8" w:rsidRPr="00D93C78">
        <w:rPr>
          <w:szCs w:val="24"/>
        </w:rPr>
        <w:t xml:space="preserve">including 14 days pre-mating through lactation day 4 </w:t>
      </w:r>
      <w:r w:rsidRPr="00D93C78">
        <w:rPr>
          <w:szCs w:val="24"/>
        </w:rPr>
        <w:t xml:space="preserve">resulted in a NOAEC of 0.15 mg/L for maternal toxicity. There was evidence of slightly delayed skeletal ossification in fetuses from the 1.8 mg/L group; the NOAEC for developmental effects was 0.60 mg/L. </w:t>
      </w:r>
    </w:p>
    <w:p w:rsidR="00D6443B" w:rsidRPr="00D93C78" w:rsidRDefault="00D6443B" w:rsidP="00D93C78">
      <w:pPr>
        <w:pStyle w:val="BodyText"/>
        <w:rPr>
          <w:szCs w:val="24"/>
        </w:rPr>
      </w:pPr>
      <w:r w:rsidRPr="00D93C78">
        <w:rPr>
          <w:szCs w:val="24"/>
        </w:rPr>
        <w:t xml:space="preserve">No reliable studies have been reported regarding toxicity to reproduction and development in animals after oral, dermal or inhalation exposure to hydrogen chloride/hydrochloric acid.  Because </w:t>
      </w:r>
      <w:r w:rsidR="00F13F00" w:rsidRPr="00D93C78">
        <w:rPr>
          <w:szCs w:val="24"/>
        </w:rPr>
        <w:t xml:space="preserve">the </w:t>
      </w:r>
      <w:r w:rsidRPr="00D93C78">
        <w:rPr>
          <w:szCs w:val="24"/>
        </w:rPr>
        <w:t xml:space="preserve">proton </w:t>
      </w:r>
      <w:r w:rsidR="00F13F00" w:rsidRPr="00D93C78">
        <w:rPr>
          <w:szCs w:val="24"/>
        </w:rPr>
        <w:t>(H</w:t>
      </w:r>
      <w:r w:rsidR="00F13F00" w:rsidRPr="00D93C78">
        <w:rPr>
          <w:szCs w:val="24"/>
          <w:vertAlign w:val="superscript"/>
        </w:rPr>
        <w:t>+</w:t>
      </w:r>
      <w:r w:rsidR="00F13F00" w:rsidRPr="00D93C78">
        <w:rPr>
          <w:szCs w:val="24"/>
        </w:rPr>
        <w:t xml:space="preserve">) </w:t>
      </w:r>
      <w:r w:rsidRPr="00D93C78">
        <w:rPr>
          <w:szCs w:val="24"/>
        </w:rPr>
        <w:t xml:space="preserve">and chloride </w:t>
      </w:r>
      <w:r w:rsidR="00E71FF1" w:rsidRPr="00D93C78">
        <w:rPr>
          <w:szCs w:val="24"/>
        </w:rPr>
        <w:t>(Cl</w:t>
      </w:r>
      <w:r w:rsidR="00E71FF1" w:rsidRPr="00D93C78">
        <w:rPr>
          <w:szCs w:val="24"/>
          <w:vertAlign w:val="superscript"/>
        </w:rPr>
        <w:t>-</w:t>
      </w:r>
      <w:r w:rsidR="00E71FF1" w:rsidRPr="00D93C78">
        <w:rPr>
          <w:szCs w:val="24"/>
        </w:rPr>
        <w:t xml:space="preserve">) </w:t>
      </w:r>
      <w:r w:rsidRPr="00D93C78">
        <w:rPr>
          <w:szCs w:val="24"/>
        </w:rPr>
        <w:t>ion</w:t>
      </w:r>
      <w:r w:rsidR="00E71FF1" w:rsidRPr="00D93C78">
        <w:rPr>
          <w:szCs w:val="24"/>
        </w:rPr>
        <w:t>s</w:t>
      </w:r>
      <w:r w:rsidR="00F13F00" w:rsidRPr="00D93C78">
        <w:rPr>
          <w:szCs w:val="24"/>
        </w:rPr>
        <w:t xml:space="preserve"> </w:t>
      </w:r>
      <w:r w:rsidRPr="00D93C78">
        <w:rPr>
          <w:szCs w:val="24"/>
        </w:rPr>
        <w:t xml:space="preserve">are the normal constituents in the body fluid of animal species, lower concentration of hydrogen chloride gas/mist or solution does not seem to cause adverse effects to animals. In fact, the cells of gastric glands secrets hydrochloric acid into the cavity of stomach and orally administered sulfuric acid, which result in pH change as well, did not cause developmental toxicity to laboratory animals.  These facts indicate that hydrogen chloride/hydrochloric acid is not expected to have developmental toxicity.  In addition, no effects on the gonads were observed in a 90-day inhalation repeated-dose study </w:t>
      </w:r>
      <w:r w:rsidR="00C738C0" w:rsidRPr="00D93C78">
        <w:rPr>
          <w:szCs w:val="24"/>
        </w:rPr>
        <w:t xml:space="preserve">with HCl </w:t>
      </w:r>
      <w:r w:rsidRPr="00D93C78">
        <w:rPr>
          <w:szCs w:val="24"/>
        </w:rPr>
        <w:t>up to concentrations of 0.073 mg/L.</w:t>
      </w:r>
    </w:p>
    <w:p w:rsidR="001454C0" w:rsidRPr="00D93C78" w:rsidRDefault="005728C8" w:rsidP="00D93C78">
      <w:pPr>
        <w:pStyle w:val="BodyText"/>
        <w:rPr>
          <w:szCs w:val="24"/>
        </w:rPr>
      </w:pPr>
      <w:r w:rsidRPr="00D93C78">
        <w:rPr>
          <w:szCs w:val="24"/>
        </w:rPr>
        <w:t>Based on these data, t</w:t>
      </w:r>
      <w:r w:rsidR="001454C0" w:rsidRPr="00D93C78">
        <w:rPr>
          <w:szCs w:val="24"/>
        </w:rPr>
        <w:t xml:space="preserve">he </w:t>
      </w:r>
      <w:r w:rsidRPr="00D93C78">
        <w:rPr>
          <w:szCs w:val="24"/>
        </w:rPr>
        <w:t>vinyl chlorosilanes</w:t>
      </w:r>
      <w:r w:rsidR="001454C0" w:rsidRPr="00D93C78">
        <w:rPr>
          <w:szCs w:val="24"/>
        </w:rPr>
        <w:t xml:space="preserve"> may </w:t>
      </w:r>
      <w:r w:rsidRPr="00D93C78">
        <w:rPr>
          <w:szCs w:val="24"/>
        </w:rPr>
        <w:t>result in</w:t>
      </w:r>
      <w:r w:rsidR="001454C0" w:rsidRPr="00D93C78">
        <w:rPr>
          <w:szCs w:val="24"/>
        </w:rPr>
        <w:t xml:space="preserve"> developmental toxicity </w:t>
      </w:r>
      <w:r w:rsidR="00E21A43" w:rsidRPr="00D93C78">
        <w:rPr>
          <w:szCs w:val="24"/>
        </w:rPr>
        <w:t>at</w:t>
      </w:r>
      <w:r w:rsidR="001454C0" w:rsidRPr="00D93C78">
        <w:rPr>
          <w:szCs w:val="24"/>
        </w:rPr>
        <w:t xml:space="preserve"> high concentrations</w:t>
      </w:r>
      <w:r w:rsidR="00E21A43" w:rsidRPr="00D93C78">
        <w:rPr>
          <w:szCs w:val="24"/>
        </w:rPr>
        <w:t xml:space="preserve"> </w:t>
      </w:r>
      <w:r w:rsidRPr="00D93C78">
        <w:rPr>
          <w:szCs w:val="24"/>
        </w:rPr>
        <w:t>in</w:t>
      </w:r>
      <w:r w:rsidR="00E21A43" w:rsidRPr="00D93C78">
        <w:rPr>
          <w:szCs w:val="24"/>
        </w:rPr>
        <w:t xml:space="preserve"> inhalation</w:t>
      </w:r>
      <w:r w:rsidRPr="00D93C78">
        <w:rPr>
          <w:szCs w:val="24"/>
        </w:rPr>
        <w:t xml:space="preserve"> studies, with a NOAEC of 0.60 mg/L (VTMS) for both category members.</w:t>
      </w:r>
    </w:p>
    <w:p w:rsidR="00383E5C" w:rsidRPr="00D93C78" w:rsidRDefault="00383E5C" w:rsidP="00D93C78">
      <w:pPr>
        <w:pStyle w:val="BodyText"/>
        <w:rPr>
          <w:b/>
          <w:szCs w:val="24"/>
        </w:rPr>
      </w:pPr>
      <w:r w:rsidRPr="00D93C78">
        <w:rPr>
          <w:b/>
          <w:szCs w:val="24"/>
        </w:rPr>
        <w:t xml:space="preserve">The vinyl chlorosilanes possess properties indicating a hazard for human health (lethality from acute </w:t>
      </w:r>
      <w:r w:rsidR="005728C8" w:rsidRPr="00D93C78">
        <w:rPr>
          <w:b/>
          <w:szCs w:val="24"/>
        </w:rPr>
        <w:t xml:space="preserve">studies (inhalation, </w:t>
      </w:r>
      <w:r w:rsidR="008902DF" w:rsidRPr="00D93C78">
        <w:rPr>
          <w:b/>
          <w:szCs w:val="24"/>
        </w:rPr>
        <w:t>oral</w:t>
      </w:r>
      <w:r w:rsidR="005728C8" w:rsidRPr="00D93C78">
        <w:rPr>
          <w:b/>
          <w:szCs w:val="24"/>
        </w:rPr>
        <w:t>,</w:t>
      </w:r>
      <w:r w:rsidR="008902DF" w:rsidRPr="00D93C78">
        <w:rPr>
          <w:b/>
          <w:szCs w:val="24"/>
        </w:rPr>
        <w:t xml:space="preserve"> and </w:t>
      </w:r>
      <w:r w:rsidR="005728C8" w:rsidRPr="00D93C78">
        <w:rPr>
          <w:b/>
          <w:szCs w:val="24"/>
        </w:rPr>
        <w:t xml:space="preserve">dermal); </w:t>
      </w:r>
      <w:r w:rsidRPr="00D93C78">
        <w:rPr>
          <w:b/>
          <w:szCs w:val="24"/>
        </w:rPr>
        <w:t>corrosiv</w:t>
      </w:r>
      <w:r w:rsidR="005728C8" w:rsidRPr="00D93C78">
        <w:rPr>
          <w:b/>
          <w:szCs w:val="24"/>
        </w:rPr>
        <w:t>ity</w:t>
      </w:r>
      <w:r w:rsidRPr="00D93C78">
        <w:rPr>
          <w:b/>
          <w:szCs w:val="24"/>
        </w:rPr>
        <w:t xml:space="preserve"> and </w:t>
      </w:r>
      <w:r w:rsidR="005728C8" w:rsidRPr="00D93C78">
        <w:rPr>
          <w:b/>
          <w:szCs w:val="24"/>
        </w:rPr>
        <w:t>severe</w:t>
      </w:r>
      <w:r w:rsidRPr="00D93C78">
        <w:rPr>
          <w:b/>
          <w:szCs w:val="24"/>
        </w:rPr>
        <w:t xml:space="preserve"> irritati</w:t>
      </w:r>
      <w:r w:rsidR="005728C8" w:rsidRPr="00D93C78">
        <w:rPr>
          <w:b/>
          <w:szCs w:val="24"/>
        </w:rPr>
        <w:t>o</w:t>
      </w:r>
      <w:r w:rsidRPr="00D93C78">
        <w:rPr>
          <w:b/>
          <w:szCs w:val="24"/>
        </w:rPr>
        <w:t>n to the skin, eyes</w:t>
      </w:r>
      <w:r w:rsidR="005728C8" w:rsidRPr="00D93C78">
        <w:rPr>
          <w:b/>
          <w:szCs w:val="24"/>
        </w:rPr>
        <w:t>,</w:t>
      </w:r>
      <w:r w:rsidRPr="00D93C78">
        <w:rPr>
          <w:b/>
          <w:szCs w:val="24"/>
        </w:rPr>
        <w:t xml:space="preserve"> respiratory </w:t>
      </w:r>
      <w:r w:rsidR="005728C8" w:rsidRPr="00D93C78">
        <w:rPr>
          <w:b/>
          <w:szCs w:val="24"/>
        </w:rPr>
        <w:t xml:space="preserve">tract, </w:t>
      </w:r>
      <w:r w:rsidR="008902DF" w:rsidRPr="00D93C78">
        <w:rPr>
          <w:b/>
          <w:szCs w:val="24"/>
        </w:rPr>
        <w:t xml:space="preserve">and GI </w:t>
      </w:r>
      <w:r w:rsidRPr="00D93C78">
        <w:rPr>
          <w:b/>
          <w:szCs w:val="24"/>
        </w:rPr>
        <w:t>tract</w:t>
      </w:r>
      <w:r w:rsidR="005728C8" w:rsidRPr="00D93C78">
        <w:rPr>
          <w:b/>
          <w:szCs w:val="24"/>
        </w:rPr>
        <w:t>;</w:t>
      </w:r>
      <w:r w:rsidRPr="00D93C78">
        <w:rPr>
          <w:b/>
          <w:szCs w:val="24"/>
        </w:rPr>
        <w:t xml:space="preserve"> repeated dose toxicity</w:t>
      </w:r>
      <w:r w:rsidR="005728C8" w:rsidRPr="00D93C78">
        <w:rPr>
          <w:b/>
          <w:szCs w:val="24"/>
        </w:rPr>
        <w:t>;</w:t>
      </w:r>
      <w:r w:rsidR="001454C0" w:rsidRPr="00D93C78">
        <w:rPr>
          <w:b/>
          <w:szCs w:val="24"/>
        </w:rPr>
        <w:t xml:space="preserve"> </w:t>
      </w:r>
      <w:r w:rsidR="005728C8" w:rsidRPr="00D93C78">
        <w:rPr>
          <w:b/>
          <w:szCs w:val="24"/>
        </w:rPr>
        <w:t xml:space="preserve">potential </w:t>
      </w:r>
      <w:r w:rsidR="005728C8" w:rsidRPr="00D93C78">
        <w:rPr>
          <w:b/>
          <w:i/>
          <w:szCs w:val="24"/>
        </w:rPr>
        <w:t>in vitro</w:t>
      </w:r>
      <w:r w:rsidR="005728C8" w:rsidRPr="00D93C78">
        <w:rPr>
          <w:b/>
          <w:szCs w:val="24"/>
        </w:rPr>
        <w:t xml:space="preserve"> </w:t>
      </w:r>
      <w:r w:rsidR="00147201" w:rsidRPr="00D93C78">
        <w:rPr>
          <w:b/>
          <w:szCs w:val="24"/>
        </w:rPr>
        <w:t xml:space="preserve">gene </w:t>
      </w:r>
      <w:r w:rsidR="005728C8" w:rsidRPr="00D93C78">
        <w:rPr>
          <w:b/>
          <w:szCs w:val="24"/>
        </w:rPr>
        <w:t>mutation;</w:t>
      </w:r>
      <w:r w:rsidR="00147201" w:rsidRPr="00D93C78">
        <w:rPr>
          <w:b/>
          <w:szCs w:val="24"/>
        </w:rPr>
        <w:t xml:space="preserve"> </w:t>
      </w:r>
      <w:r w:rsidR="00E21A43" w:rsidRPr="00D93C78">
        <w:rPr>
          <w:b/>
          <w:szCs w:val="24"/>
        </w:rPr>
        <w:t>developmental toxicity (only at high concentration via inhalation</w:t>
      </w:r>
      <w:r w:rsidR="005728C8" w:rsidRPr="00D93C78">
        <w:rPr>
          <w:b/>
          <w:szCs w:val="24"/>
        </w:rPr>
        <w:t xml:space="preserve"> at maternally toxic concentrations</w:t>
      </w:r>
      <w:r w:rsidRPr="00D93C78">
        <w:rPr>
          <w:b/>
          <w:szCs w:val="24"/>
        </w:rPr>
        <w:t>).  Adequate screening-level data are available to characterize the human health hazard for the purposes of the OECD Cooperative Chemicals Assessment Programme.</w:t>
      </w:r>
    </w:p>
    <w:p w:rsidR="00C1433D" w:rsidRPr="00D93C78" w:rsidRDefault="00C1433D" w:rsidP="00D93C78">
      <w:pPr>
        <w:pStyle w:val="Heading1"/>
        <w:ind w:left="0" w:firstLine="0"/>
        <w:jc w:val="both"/>
        <w:rPr>
          <w:rFonts w:ascii="Times New Roman" w:hAnsi="Times New Roman"/>
          <w:szCs w:val="24"/>
        </w:rPr>
      </w:pPr>
      <w:bookmarkStart w:id="149" w:name="_Toc32726038"/>
      <w:bookmarkStart w:id="150" w:name="_Toc32727221"/>
      <w:bookmarkStart w:id="151" w:name="_Toc43868669"/>
      <w:bookmarkStart w:id="152" w:name="_Toc200358256"/>
      <w:bookmarkStart w:id="153" w:name="_Toc310335196"/>
      <w:r w:rsidRPr="00D93C78">
        <w:rPr>
          <w:rFonts w:ascii="Times New Roman" w:hAnsi="Times New Roman"/>
          <w:szCs w:val="24"/>
        </w:rPr>
        <w:t>4</w:t>
      </w:r>
      <w:r w:rsidRPr="00D93C78">
        <w:rPr>
          <w:rFonts w:ascii="Times New Roman" w:hAnsi="Times New Roman"/>
          <w:szCs w:val="24"/>
        </w:rPr>
        <w:tab/>
        <w:t>hazards to the environment</w:t>
      </w:r>
      <w:bookmarkEnd w:id="149"/>
      <w:bookmarkEnd w:id="150"/>
      <w:bookmarkEnd w:id="151"/>
      <w:bookmarkEnd w:id="152"/>
      <w:bookmarkEnd w:id="153"/>
    </w:p>
    <w:p w:rsidR="00C1433D" w:rsidRPr="00D93C78" w:rsidRDefault="00C1433D" w:rsidP="00D93C78">
      <w:pPr>
        <w:pStyle w:val="Heading2"/>
        <w:numPr>
          <w:ilvl w:val="0"/>
          <w:numId w:val="0"/>
        </w:numPr>
        <w:rPr>
          <w:rFonts w:ascii="Times New Roman" w:hAnsi="Times New Roman"/>
          <w:szCs w:val="24"/>
        </w:rPr>
      </w:pPr>
      <w:bookmarkStart w:id="154" w:name="_Toc32726039"/>
      <w:bookmarkStart w:id="155" w:name="_Toc32727222"/>
      <w:bookmarkStart w:id="156" w:name="_Toc43868670"/>
      <w:bookmarkStart w:id="157" w:name="_Toc200358257"/>
      <w:bookmarkStart w:id="158" w:name="_Toc310335197"/>
      <w:r w:rsidRPr="00D93C78">
        <w:rPr>
          <w:rFonts w:ascii="Times New Roman" w:hAnsi="Times New Roman"/>
          <w:szCs w:val="24"/>
        </w:rPr>
        <w:t>4.1</w:t>
      </w:r>
      <w:r w:rsidRPr="00D93C78">
        <w:rPr>
          <w:rFonts w:ascii="Times New Roman" w:hAnsi="Times New Roman"/>
          <w:szCs w:val="24"/>
        </w:rPr>
        <w:tab/>
        <w:t>Aquatic Effects</w:t>
      </w:r>
      <w:bookmarkEnd w:id="154"/>
      <w:bookmarkEnd w:id="155"/>
      <w:bookmarkEnd w:id="156"/>
      <w:bookmarkEnd w:id="157"/>
      <w:bookmarkEnd w:id="158"/>
      <w:r w:rsidR="00777AF0" w:rsidRPr="00D93C78">
        <w:rPr>
          <w:rFonts w:ascii="Times New Roman" w:hAnsi="Times New Roman"/>
          <w:szCs w:val="24"/>
        </w:rPr>
        <w:t xml:space="preserve"> </w:t>
      </w:r>
    </w:p>
    <w:p w:rsidR="00C1433D" w:rsidRPr="00D93C78" w:rsidRDefault="00386687" w:rsidP="00D93C78">
      <w:pPr>
        <w:pStyle w:val="BodyText"/>
        <w:rPr>
          <w:szCs w:val="24"/>
        </w:rPr>
      </w:pPr>
      <w:r w:rsidRPr="00D93C78">
        <w:rPr>
          <w:szCs w:val="24"/>
        </w:rPr>
        <w:t>A</w:t>
      </w:r>
      <w:r w:rsidR="00724D62" w:rsidRPr="00D93C78">
        <w:rPr>
          <w:szCs w:val="24"/>
        </w:rPr>
        <w:t>cute aquatic toxicity data are not available for the vinyl chlorosilanes.  The vinyl</w:t>
      </w:r>
      <w:r w:rsidR="00413FFD" w:rsidRPr="00D93C78">
        <w:rPr>
          <w:szCs w:val="24"/>
        </w:rPr>
        <w:t xml:space="preserve"> chlorosilanes</w:t>
      </w:r>
      <w:r w:rsidR="00610DB3" w:rsidRPr="00D93C78">
        <w:rPr>
          <w:szCs w:val="24"/>
        </w:rPr>
        <w:t xml:space="preserve"> </w:t>
      </w:r>
      <w:r w:rsidR="00F44BAC" w:rsidRPr="00D93C78">
        <w:rPr>
          <w:szCs w:val="24"/>
        </w:rPr>
        <w:t xml:space="preserve">are expected to </w:t>
      </w:r>
      <w:r w:rsidR="00C1433D" w:rsidRPr="00D93C78">
        <w:rPr>
          <w:szCs w:val="24"/>
        </w:rPr>
        <w:t xml:space="preserve">undergo rapid hydrolysis, which </w:t>
      </w:r>
      <w:r w:rsidR="00BC4E3F" w:rsidRPr="00D93C78">
        <w:rPr>
          <w:szCs w:val="24"/>
        </w:rPr>
        <w:t xml:space="preserve">would </w:t>
      </w:r>
      <w:r w:rsidR="00C1433D" w:rsidRPr="00D93C78">
        <w:rPr>
          <w:szCs w:val="24"/>
        </w:rPr>
        <w:t xml:space="preserve">occur during testing; </w:t>
      </w:r>
      <w:r w:rsidR="00BC4E3F" w:rsidRPr="00D93C78">
        <w:rPr>
          <w:szCs w:val="24"/>
        </w:rPr>
        <w:t xml:space="preserve">therefore, </w:t>
      </w:r>
      <w:r w:rsidR="00C1433D" w:rsidRPr="00D93C78">
        <w:rPr>
          <w:szCs w:val="24"/>
        </w:rPr>
        <w:t xml:space="preserve">exposures to parent chlorosilane </w:t>
      </w:r>
      <w:r w:rsidR="009E5291" w:rsidRPr="00D93C78">
        <w:rPr>
          <w:szCs w:val="24"/>
        </w:rPr>
        <w:t>is</w:t>
      </w:r>
      <w:r w:rsidR="00C1433D" w:rsidRPr="00D93C78">
        <w:rPr>
          <w:szCs w:val="24"/>
        </w:rPr>
        <w:t xml:space="preserve"> likely to be transient and observed toxicity </w:t>
      </w:r>
      <w:r w:rsidR="00BC4E3F" w:rsidRPr="00D93C78">
        <w:rPr>
          <w:szCs w:val="24"/>
        </w:rPr>
        <w:t>would</w:t>
      </w:r>
      <w:r w:rsidR="00C1433D" w:rsidRPr="00D93C78">
        <w:rPr>
          <w:szCs w:val="24"/>
        </w:rPr>
        <w:t xml:space="preserve"> likely </w:t>
      </w:r>
      <w:r w:rsidR="00BC4E3F" w:rsidRPr="00D93C78">
        <w:rPr>
          <w:szCs w:val="24"/>
        </w:rPr>
        <w:t xml:space="preserve">be </w:t>
      </w:r>
      <w:r w:rsidR="00C1433D" w:rsidRPr="00D93C78">
        <w:rPr>
          <w:szCs w:val="24"/>
        </w:rPr>
        <w:t xml:space="preserve">due its hydrolysis products, HCl and the corresponding silanol hydrolysis product. </w:t>
      </w:r>
      <w:r w:rsidR="00610DB3" w:rsidRPr="00D93C78">
        <w:rPr>
          <w:szCs w:val="24"/>
        </w:rPr>
        <w:t xml:space="preserve">Data are available for the </w:t>
      </w:r>
      <w:r w:rsidR="00724D62" w:rsidRPr="00D93C78">
        <w:rPr>
          <w:szCs w:val="24"/>
        </w:rPr>
        <w:t xml:space="preserve">supporting substance, </w:t>
      </w:r>
      <w:r w:rsidR="00172771" w:rsidRPr="00D93C78">
        <w:rPr>
          <w:szCs w:val="24"/>
        </w:rPr>
        <w:t xml:space="preserve">trimethoxyvinylsilane </w:t>
      </w:r>
      <w:r w:rsidR="00CE5EB1" w:rsidRPr="00D93C78">
        <w:rPr>
          <w:szCs w:val="24"/>
        </w:rPr>
        <w:t>(</w:t>
      </w:r>
      <w:r w:rsidR="00724D62" w:rsidRPr="00D93C78">
        <w:rPr>
          <w:szCs w:val="24"/>
        </w:rPr>
        <w:t>VTMS</w:t>
      </w:r>
      <w:r w:rsidR="00CE5EB1" w:rsidRPr="00D93C78">
        <w:rPr>
          <w:szCs w:val="24"/>
        </w:rPr>
        <w:t>;</w:t>
      </w:r>
      <w:r w:rsidR="00724D62" w:rsidRPr="00D93C78">
        <w:rPr>
          <w:szCs w:val="24"/>
        </w:rPr>
        <w:t xml:space="preserve"> </w:t>
      </w:r>
      <w:r w:rsidR="00CE5EB1" w:rsidRPr="00D93C78">
        <w:rPr>
          <w:szCs w:val="24"/>
        </w:rPr>
        <w:t xml:space="preserve">CAS No. 2768-02-7) </w:t>
      </w:r>
      <w:r w:rsidR="00610DB3" w:rsidRPr="00D93C78">
        <w:rPr>
          <w:szCs w:val="24"/>
        </w:rPr>
        <w:t>and</w:t>
      </w:r>
      <w:r w:rsidR="009A7912" w:rsidRPr="00D93C78">
        <w:rPr>
          <w:szCs w:val="24"/>
        </w:rPr>
        <w:t xml:space="preserve"> the silanol,</w:t>
      </w:r>
      <w:r w:rsidR="00610DB3" w:rsidRPr="00D93C78">
        <w:rPr>
          <w:szCs w:val="24"/>
        </w:rPr>
        <w:t xml:space="preserve"> </w:t>
      </w:r>
      <w:r w:rsidR="00CE5EB1" w:rsidRPr="00D93C78">
        <w:rPr>
          <w:szCs w:val="24"/>
        </w:rPr>
        <w:t>Dimethylsilanediol (</w:t>
      </w:r>
      <w:r w:rsidR="00610DB3" w:rsidRPr="00D93C78">
        <w:rPr>
          <w:szCs w:val="24"/>
        </w:rPr>
        <w:t>DMSD</w:t>
      </w:r>
      <w:r w:rsidR="00CE5EB1" w:rsidRPr="00D93C78">
        <w:rPr>
          <w:szCs w:val="24"/>
        </w:rPr>
        <w:t>; CAS No. 1066-42-8)</w:t>
      </w:r>
      <w:r w:rsidR="00610DB3" w:rsidRPr="00D93C78">
        <w:rPr>
          <w:szCs w:val="24"/>
        </w:rPr>
        <w:t xml:space="preserve">.  </w:t>
      </w:r>
      <w:r w:rsidR="00C1433D" w:rsidRPr="00D93C78">
        <w:rPr>
          <w:szCs w:val="24"/>
        </w:rPr>
        <w:t xml:space="preserve">Aquatic toxicity endpoints for </w:t>
      </w:r>
      <w:r w:rsidR="00301BBE" w:rsidRPr="00D93C78">
        <w:rPr>
          <w:szCs w:val="24"/>
        </w:rPr>
        <w:t xml:space="preserve">the </w:t>
      </w:r>
      <w:r w:rsidR="009A7912" w:rsidRPr="00D93C78">
        <w:rPr>
          <w:szCs w:val="24"/>
        </w:rPr>
        <w:t>vinyl</w:t>
      </w:r>
      <w:r w:rsidR="00413FFD" w:rsidRPr="00D93C78">
        <w:rPr>
          <w:szCs w:val="24"/>
        </w:rPr>
        <w:t xml:space="preserve"> chlorosilanes</w:t>
      </w:r>
      <w:r w:rsidR="00E30EB6" w:rsidRPr="00D93C78">
        <w:rPr>
          <w:szCs w:val="24"/>
        </w:rPr>
        <w:t xml:space="preserve"> </w:t>
      </w:r>
      <w:r w:rsidR="00C1433D" w:rsidRPr="00D93C78">
        <w:rPr>
          <w:szCs w:val="24"/>
        </w:rPr>
        <w:t xml:space="preserve">are </w:t>
      </w:r>
      <w:r w:rsidR="00BD01DC" w:rsidRPr="00D93C78">
        <w:rPr>
          <w:szCs w:val="24"/>
        </w:rPr>
        <w:t xml:space="preserve">also </w:t>
      </w:r>
      <w:r w:rsidR="00C1433D" w:rsidRPr="00D93C78">
        <w:rPr>
          <w:szCs w:val="24"/>
        </w:rPr>
        <w:t>fulfilled t</w:t>
      </w:r>
      <w:r w:rsidR="00BD01DC" w:rsidRPr="00D93C78">
        <w:rPr>
          <w:szCs w:val="24"/>
        </w:rPr>
        <w:t xml:space="preserve">hrough the use of data </w:t>
      </w:r>
      <w:r w:rsidR="00B44A39" w:rsidRPr="00D93C78">
        <w:rPr>
          <w:szCs w:val="24"/>
        </w:rPr>
        <w:t xml:space="preserve">the hydrolysis product, </w:t>
      </w:r>
      <w:r w:rsidR="00BD01DC" w:rsidRPr="00D93C78">
        <w:rPr>
          <w:szCs w:val="24"/>
        </w:rPr>
        <w:t>HCl</w:t>
      </w:r>
      <w:r w:rsidR="00C1433D" w:rsidRPr="00D93C78">
        <w:rPr>
          <w:szCs w:val="24"/>
        </w:rPr>
        <w:t xml:space="preserve">.  </w:t>
      </w:r>
    </w:p>
    <w:p w:rsidR="00C1433D" w:rsidRPr="00D93C78" w:rsidRDefault="00C1433D" w:rsidP="00D93C78">
      <w:pPr>
        <w:pStyle w:val="BodyText"/>
        <w:rPr>
          <w:szCs w:val="24"/>
        </w:rPr>
      </w:pPr>
      <w:r w:rsidRPr="00D93C78">
        <w:rPr>
          <w:szCs w:val="24"/>
        </w:rPr>
        <w:t xml:space="preserve">These data are summarized in Table </w:t>
      </w:r>
      <w:r w:rsidR="00C364BA" w:rsidRPr="00D93C78">
        <w:rPr>
          <w:szCs w:val="24"/>
        </w:rPr>
        <w:t>12</w:t>
      </w:r>
      <w:r w:rsidRPr="00D93C78">
        <w:rPr>
          <w:szCs w:val="24"/>
        </w:rPr>
        <w:t>.</w:t>
      </w:r>
      <w:r w:rsidR="00BD01DC" w:rsidRPr="00D93C78">
        <w:rPr>
          <w:szCs w:val="24"/>
        </w:rPr>
        <w:t xml:space="preserve"> </w:t>
      </w:r>
    </w:p>
    <w:p w:rsidR="00CC3368" w:rsidRPr="00D93C78" w:rsidRDefault="00CC3368" w:rsidP="00D93C78">
      <w:pPr>
        <w:jc w:val="both"/>
        <w:rPr>
          <w:u w:val="single"/>
          <w:lang w:val="en-GB"/>
        </w:rPr>
      </w:pPr>
      <w:r w:rsidRPr="00D93C78">
        <w:br w:type="page"/>
      </w:r>
    </w:p>
    <w:p w:rsidR="00C1433D" w:rsidRPr="00D93C78" w:rsidRDefault="00C1433D" w:rsidP="00D93C78">
      <w:pPr>
        <w:pStyle w:val="Heading8"/>
        <w:jc w:val="both"/>
      </w:pPr>
      <w:r w:rsidRPr="00D93C78">
        <w:t>Acute Toxicity Test Results</w:t>
      </w:r>
    </w:p>
    <w:p w:rsidR="00C1433D" w:rsidRDefault="00C1433D" w:rsidP="00D93C78">
      <w:pPr>
        <w:pStyle w:val="BodyText"/>
        <w:spacing w:after="0"/>
        <w:rPr>
          <w:i/>
          <w:szCs w:val="24"/>
        </w:rPr>
      </w:pPr>
      <w:r w:rsidRPr="00D93C78">
        <w:rPr>
          <w:i/>
          <w:szCs w:val="24"/>
        </w:rPr>
        <w:t>Fish</w:t>
      </w:r>
    </w:p>
    <w:p w:rsidR="00DA79C4" w:rsidRPr="00D93C78" w:rsidRDefault="00DA79C4" w:rsidP="00740E9A">
      <w:pPr>
        <w:pStyle w:val="BodyText"/>
        <w:spacing w:before="240" w:after="0"/>
        <w:rPr>
          <w:b/>
          <w:szCs w:val="24"/>
        </w:rPr>
      </w:pPr>
      <w:r w:rsidRPr="00D93C78">
        <w:rPr>
          <w:b/>
          <w:szCs w:val="24"/>
        </w:rPr>
        <w:t>Supporting</w:t>
      </w:r>
      <w:r w:rsidR="00605D69" w:rsidRPr="00D93C78">
        <w:rPr>
          <w:b/>
          <w:szCs w:val="24"/>
        </w:rPr>
        <w:t xml:space="preserve"> substance: </w:t>
      </w:r>
    </w:p>
    <w:p w:rsidR="00C364BA" w:rsidRPr="00D93C78" w:rsidRDefault="009A7912" w:rsidP="00740E9A">
      <w:pPr>
        <w:spacing w:before="240"/>
        <w:jc w:val="both"/>
        <w:rPr>
          <w:b/>
        </w:rPr>
      </w:pPr>
      <w:r w:rsidRPr="00D93C78">
        <w:rPr>
          <w:b/>
        </w:rPr>
        <w:t>V</w:t>
      </w:r>
      <w:r w:rsidR="00A01413" w:rsidRPr="00D93C78">
        <w:rPr>
          <w:b/>
        </w:rPr>
        <w:t>TMS</w:t>
      </w:r>
      <w:r w:rsidR="00D44F62" w:rsidRPr="00D93C78">
        <w:rPr>
          <w:b/>
        </w:rPr>
        <w:t>:</w:t>
      </w:r>
      <w:r w:rsidR="00A01413" w:rsidRPr="00D93C78">
        <w:rPr>
          <w:b/>
        </w:rPr>
        <w:t xml:space="preserve"> </w:t>
      </w:r>
    </w:p>
    <w:p w:rsidR="009A7912" w:rsidRPr="00D93C78" w:rsidRDefault="009A7912" w:rsidP="00D93C78">
      <w:pPr>
        <w:jc w:val="both"/>
      </w:pPr>
      <w:r w:rsidRPr="00D93C78">
        <w:t>(1) Seven zebra fish (</w:t>
      </w:r>
      <w:r w:rsidRPr="00D93C78">
        <w:rPr>
          <w:i/>
        </w:rPr>
        <w:t>Brachydanio rerio</w:t>
      </w:r>
      <w:r w:rsidRPr="00D93C78">
        <w:t>) were exposed for 96 hours to a nominal VTMS concentration of 0 or 100 mg/L (limit test) under static conditions.  The study protocol followed OECD TG 203 "Fish, Acute Toxicity Test" and Directive 92/69/EEC, C.1.  The substance was dissolved in water and stirred for 15 minutes.  No mortality or other signs of intoxication were observed during the test period of 96 hours.  Therefore, the 96-hour NOEC and the 96-hour LC0 was 100 mg/L.   The 96-hour LC50 was considered to be &gt; 100 mg/L</w:t>
      </w:r>
      <w:r w:rsidR="007F06F1" w:rsidRPr="00D93C78">
        <w:t xml:space="preserve"> (</w:t>
      </w:r>
      <w:hyperlink r:id="rId47" w:history="1">
        <w:r w:rsidR="00C62D6F" w:rsidRPr="00D93C78">
          <w:rPr>
            <w:rStyle w:val="Hyperlink"/>
            <w:sz w:val="24"/>
          </w:rPr>
          <w:t>http://www.oecd.org/env/hazard/data</w:t>
        </w:r>
      </w:hyperlink>
      <w:r w:rsidR="007F06F1" w:rsidRPr="00D93C78">
        <w:t>)</w:t>
      </w:r>
      <w:r w:rsidRPr="00D93C78">
        <w:t xml:space="preserve">. </w:t>
      </w:r>
    </w:p>
    <w:p w:rsidR="009A7912" w:rsidRPr="00D93C78" w:rsidRDefault="009A7912" w:rsidP="00D93C78">
      <w:pPr>
        <w:jc w:val="both"/>
      </w:pPr>
      <w:r w:rsidRPr="00D93C78">
        <w:t>(2) In another fish study, groups of ten zebra fish (</w:t>
      </w:r>
      <w:r w:rsidRPr="00D93C78">
        <w:rPr>
          <w:i/>
        </w:rPr>
        <w:t>Brachydanio rerio</w:t>
      </w:r>
      <w:r w:rsidRPr="00D93C78">
        <w:t>), were exposed for 96 hours to nominal VTMS concentration of 0 and 100 mg/L under semi-static conditions.  The study protocol followed Directive 92/69/EEC, C.1. The substance was dissolved in water and used without further treatment.  Based on rapid hydrolysis rates, the organisms were exposed primarily to the hydrolysis products during the test.  No mortality or other signs of intoxication were observed during the test period of 96 hours.  The 96-hour LC0 was &gt; =100 mg/L and 96-hour LC50 was considered to be &gt; 100 mg/L (nominal)</w:t>
      </w:r>
      <w:r w:rsidR="007F06F1" w:rsidRPr="00D93C78">
        <w:t xml:space="preserve"> (</w:t>
      </w:r>
      <w:hyperlink r:id="rId48" w:history="1">
        <w:r w:rsidR="00C62D6F" w:rsidRPr="00D93C78">
          <w:rPr>
            <w:rStyle w:val="Hyperlink"/>
            <w:sz w:val="24"/>
          </w:rPr>
          <w:t>http://www.oecd.org/env/hazard/data</w:t>
        </w:r>
      </w:hyperlink>
      <w:r w:rsidR="007F06F1" w:rsidRPr="00D93C78">
        <w:t>)</w:t>
      </w:r>
      <w:r w:rsidRPr="00D93C78">
        <w:t xml:space="preserve">.  </w:t>
      </w:r>
    </w:p>
    <w:p w:rsidR="00A01413" w:rsidRPr="00D93C78" w:rsidRDefault="009A7912" w:rsidP="00D93C78">
      <w:pPr>
        <w:jc w:val="both"/>
        <w:rPr>
          <w:b/>
        </w:rPr>
      </w:pPr>
      <w:r w:rsidRPr="00D93C78">
        <w:t>(3) In another fish (species not specified) study, the 96-hour LC50 was &gt; 92 mg/L.  The study protocol followed OECD TG 203 "Fish, Acute Toxicity Test". Although additional study details are not available, it is known that this OECD TG study was conducted under GLP</w:t>
      </w:r>
      <w:r w:rsidR="007F06F1" w:rsidRPr="00D93C78">
        <w:t xml:space="preserve"> (</w:t>
      </w:r>
      <w:hyperlink r:id="rId49" w:history="1">
        <w:r w:rsidR="00C62D6F" w:rsidRPr="00D93C78">
          <w:rPr>
            <w:rStyle w:val="Hyperlink"/>
            <w:sz w:val="24"/>
          </w:rPr>
          <w:t>http://www.oecd.org/env/hazard/data</w:t>
        </w:r>
      </w:hyperlink>
      <w:r w:rsidR="007F06F1" w:rsidRPr="00D93C78">
        <w:t>)</w:t>
      </w:r>
      <w:r w:rsidRPr="00D93C78">
        <w:t>.</w:t>
      </w:r>
    </w:p>
    <w:p w:rsidR="00A01413" w:rsidRPr="00D93C78" w:rsidRDefault="00A01413" w:rsidP="00D93C78">
      <w:pPr>
        <w:jc w:val="both"/>
        <w:rPr>
          <w:b/>
        </w:rPr>
      </w:pPr>
    </w:p>
    <w:p w:rsidR="00C364BA" w:rsidRPr="00D93C78" w:rsidRDefault="00A01413" w:rsidP="00D93C78">
      <w:pPr>
        <w:jc w:val="both"/>
      </w:pPr>
      <w:r w:rsidRPr="00D93C78">
        <w:rPr>
          <w:b/>
        </w:rPr>
        <w:t>DMSD</w:t>
      </w:r>
      <w:r w:rsidR="00D44F62" w:rsidRPr="00D93C78">
        <w:rPr>
          <w:b/>
        </w:rPr>
        <w:t>:</w:t>
      </w:r>
      <w:r w:rsidRPr="00D93C78">
        <w:t xml:space="preserve"> </w:t>
      </w:r>
    </w:p>
    <w:p w:rsidR="00A01413" w:rsidRPr="00D93C78" w:rsidRDefault="00A01413" w:rsidP="00D93C78">
      <w:pPr>
        <w:jc w:val="both"/>
        <w:rPr>
          <w:iCs/>
        </w:rPr>
      </w:pPr>
      <w:r w:rsidRPr="00D93C78">
        <w:rPr>
          <w:iCs/>
        </w:rPr>
        <w:t>In an OECD TG 203 "Fish, Acute Toxicity Test", groups of ten rainbow trout (</w:t>
      </w:r>
      <w:r w:rsidRPr="00D93C78">
        <w:rPr>
          <w:i/>
          <w:iCs/>
        </w:rPr>
        <w:t>Oncorhynchus mykiss</w:t>
      </w:r>
      <w:r w:rsidRPr="00D93C78">
        <w:rPr>
          <w:iCs/>
        </w:rPr>
        <w:t>) were exposed to DMSD for 96 hours under static conditions to nominal concentrations of 0 (negative control) and 120 mg/L (limit test; Drottar and Miller, 2009a). The mean measured concentration was 126 mg/L.  There was no mortality and no abnormal responses. The 96-hour LC</w:t>
      </w:r>
      <w:r w:rsidRPr="00D93C78">
        <w:rPr>
          <w:iCs/>
          <w:vertAlign w:val="subscript"/>
        </w:rPr>
        <w:t>50</w:t>
      </w:r>
      <w:r w:rsidRPr="00D93C78">
        <w:rPr>
          <w:iCs/>
        </w:rPr>
        <w:t xml:space="preserve"> was &gt;126 mg/L and the NOEC was = 126 mg/L</w:t>
      </w:r>
      <w:r w:rsidR="00E74895" w:rsidRPr="00D93C78">
        <w:rPr>
          <w:iCs/>
        </w:rPr>
        <w:t xml:space="preserve"> (measured)</w:t>
      </w:r>
      <w:r w:rsidRPr="00D93C78">
        <w:rPr>
          <w:iCs/>
        </w:rPr>
        <w:t>.</w:t>
      </w:r>
    </w:p>
    <w:p w:rsidR="00A01413" w:rsidRPr="00D93C78" w:rsidRDefault="00A01413" w:rsidP="00D93C78">
      <w:pPr>
        <w:jc w:val="both"/>
      </w:pPr>
    </w:p>
    <w:p w:rsidR="00DA79C4" w:rsidRPr="00D93C78" w:rsidRDefault="00605D69" w:rsidP="00D93C78">
      <w:pPr>
        <w:jc w:val="both"/>
        <w:rPr>
          <w:b/>
          <w:lang w:val="en-GB"/>
        </w:rPr>
      </w:pPr>
      <w:r w:rsidRPr="00D93C78">
        <w:rPr>
          <w:b/>
          <w:lang w:val="en-GB"/>
        </w:rPr>
        <w:t xml:space="preserve">Hydrolysis product: </w:t>
      </w:r>
    </w:p>
    <w:p w:rsidR="00C364BA" w:rsidRPr="00D93C78" w:rsidRDefault="00C1433D" w:rsidP="00740E9A">
      <w:pPr>
        <w:spacing w:before="240"/>
        <w:jc w:val="both"/>
        <w:rPr>
          <w:b/>
          <w:lang w:val="en-GB"/>
        </w:rPr>
      </w:pPr>
      <w:r w:rsidRPr="00D93C78">
        <w:rPr>
          <w:b/>
          <w:lang w:val="en-GB"/>
        </w:rPr>
        <w:t>HCl</w:t>
      </w:r>
      <w:r w:rsidR="00D44F62" w:rsidRPr="00D93C78">
        <w:rPr>
          <w:b/>
          <w:lang w:val="en-GB"/>
        </w:rPr>
        <w:t>:</w:t>
      </w:r>
      <w:r w:rsidRPr="00D93C78">
        <w:rPr>
          <w:b/>
          <w:lang w:val="en-GB"/>
        </w:rPr>
        <w:t xml:space="preserve"> </w:t>
      </w:r>
    </w:p>
    <w:p w:rsidR="00C1433D" w:rsidRPr="00D93C78" w:rsidRDefault="00C1433D" w:rsidP="00D93C78">
      <w:pPr>
        <w:jc w:val="both"/>
        <w:rPr>
          <w:b/>
          <w:lang w:val="en-GB"/>
        </w:rPr>
      </w:pPr>
      <w:r w:rsidRPr="00D93C78">
        <w:rPr>
          <w:lang w:val="en-GB"/>
        </w:rPr>
        <w:t>The hazard of hydrochloric acid for the environment is caused by the proton (pH</w:t>
      </w:r>
      <w:r w:rsidR="00F463D5" w:rsidRPr="00D93C78">
        <w:rPr>
          <w:lang w:val="en-GB"/>
        </w:rPr>
        <w:t>)</w:t>
      </w:r>
      <w:r w:rsidRPr="00D93C78">
        <w:rPr>
          <w:lang w:val="en-GB"/>
        </w:rPr>
        <w:t xml:space="preserve"> effect.  For this reason the effect of hydrochloric acid on the organisms depends on the buffer capacity of the aquatic ecosystem.  Also the variation in acute toxicity for aquatic organisms can be explained </w:t>
      </w:r>
      <w:r w:rsidR="00F463D5" w:rsidRPr="00D93C78">
        <w:rPr>
          <w:lang w:val="en-GB"/>
        </w:rPr>
        <w:t>to</w:t>
      </w:r>
      <w:r w:rsidRPr="00D93C78">
        <w:rPr>
          <w:lang w:val="en-GB"/>
        </w:rPr>
        <w:t xml:space="preserve"> a significant extent by the variation in buffer capacity of the test medium.  For example, LC</w:t>
      </w:r>
      <w:r w:rsidRPr="00D93C78">
        <w:rPr>
          <w:vertAlign w:val="subscript"/>
          <w:lang w:val="en-GB"/>
        </w:rPr>
        <w:t>50</w:t>
      </w:r>
      <w:r w:rsidRPr="00D93C78">
        <w:rPr>
          <w:lang w:val="en-GB"/>
        </w:rPr>
        <w:t xml:space="preserve"> values of acute fish toxicity tests varied from 4.92 to 282 mg/L.</w:t>
      </w:r>
      <w:r w:rsidRPr="00D93C78">
        <w:t xml:space="preserve">  </w:t>
      </w:r>
      <w:r w:rsidRPr="00D93C78">
        <w:rPr>
          <w:lang w:val="en-GB"/>
        </w:rPr>
        <w:t xml:space="preserve">Several studies on acute toxicity to fish have been published.  The lowest 96h LC50 reported is </w:t>
      </w:r>
      <w:r w:rsidR="00A05E0D" w:rsidRPr="00D93C78">
        <w:rPr>
          <w:lang w:val="en-GB"/>
        </w:rPr>
        <w:t>= 4.92 mg/L</w:t>
      </w:r>
      <w:r w:rsidRPr="00D93C78">
        <w:rPr>
          <w:lang w:val="en-GB"/>
        </w:rPr>
        <w:t xml:space="preserve"> (</w:t>
      </w:r>
      <w:r w:rsidR="00A05E0D" w:rsidRPr="00D93C78">
        <w:rPr>
          <w:lang w:val="en-GB"/>
        </w:rPr>
        <w:t>pH 4.3</w:t>
      </w:r>
      <w:r w:rsidRPr="00D93C78">
        <w:rPr>
          <w:lang w:val="en-GB"/>
        </w:rPr>
        <w:t xml:space="preserve">) for </w:t>
      </w:r>
      <w:r w:rsidRPr="00D93C78">
        <w:rPr>
          <w:i/>
          <w:lang w:val="en-GB"/>
        </w:rPr>
        <w:t>Cyprinus carpio</w:t>
      </w:r>
      <w:r w:rsidRPr="00D93C78">
        <w:rPr>
          <w:lang w:val="en-GB"/>
        </w:rPr>
        <w:t>, which was conducted according to OECD TG 203</w:t>
      </w:r>
      <w:r w:rsidR="00CE5EB1" w:rsidRPr="00D93C78">
        <w:rPr>
          <w:lang w:val="en-GB"/>
        </w:rPr>
        <w:t xml:space="preserve"> </w:t>
      </w:r>
      <w:r w:rsidR="007F06F1" w:rsidRPr="00D93C78">
        <w:t>(</w:t>
      </w:r>
      <w:hyperlink r:id="rId50" w:history="1">
        <w:r w:rsidR="00C62D6F" w:rsidRPr="00D93C78">
          <w:rPr>
            <w:rStyle w:val="Hyperlink"/>
            <w:sz w:val="24"/>
          </w:rPr>
          <w:t>http://www.oecd.org/env/hazard/data</w:t>
        </w:r>
      </w:hyperlink>
      <w:r w:rsidR="007F06F1" w:rsidRPr="00D93C78">
        <w:t>)</w:t>
      </w:r>
      <w:r w:rsidRPr="00D93C78">
        <w:rPr>
          <w:lang w:val="en-GB"/>
        </w:rPr>
        <w:t>.</w:t>
      </w:r>
    </w:p>
    <w:p w:rsidR="00C1433D" w:rsidRPr="00D93C78" w:rsidRDefault="00C1433D" w:rsidP="00740E9A">
      <w:pPr>
        <w:pStyle w:val="MSDS-TZeile"/>
        <w:spacing w:before="240"/>
        <w:ind w:left="0"/>
        <w:jc w:val="both"/>
        <w:rPr>
          <w:rFonts w:ascii="Times New Roman" w:hAnsi="Times New Roman" w:cs="Times New Roman"/>
          <w:i/>
          <w:iCs/>
          <w:sz w:val="24"/>
          <w:szCs w:val="24"/>
          <w:lang w:val="en-GB"/>
        </w:rPr>
      </w:pPr>
      <w:r w:rsidRPr="00D93C78">
        <w:rPr>
          <w:rFonts w:ascii="Times New Roman" w:hAnsi="Times New Roman" w:cs="Times New Roman"/>
          <w:i/>
          <w:iCs/>
          <w:sz w:val="24"/>
          <w:szCs w:val="24"/>
          <w:lang w:val="en-GB"/>
        </w:rPr>
        <w:t>Aquatic invertebrates</w:t>
      </w:r>
    </w:p>
    <w:p w:rsidR="00DA79C4" w:rsidRPr="00D93C78" w:rsidRDefault="00DA79C4" w:rsidP="00740E9A">
      <w:pPr>
        <w:pStyle w:val="BodyText"/>
        <w:spacing w:before="240" w:after="0"/>
        <w:rPr>
          <w:b/>
          <w:szCs w:val="24"/>
        </w:rPr>
      </w:pPr>
      <w:r w:rsidRPr="00D93C78">
        <w:rPr>
          <w:b/>
          <w:szCs w:val="24"/>
        </w:rPr>
        <w:t xml:space="preserve">Supporting substance: </w:t>
      </w:r>
    </w:p>
    <w:p w:rsidR="00C364BA" w:rsidRPr="00D93C78" w:rsidRDefault="009A7912" w:rsidP="00740E9A">
      <w:pPr>
        <w:pStyle w:val="BodyText"/>
        <w:spacing w:before="240" w:after="0"/>
        <w:rPr>
          <w:szCs w:val="24"/>
        </w:rPr>
      </w:pPr>
      <w:r w:rsidRPr="00D93C78">
        <w:rPr>
          <w:b/>
          <w:szCs w:val="24"/>
        </w:rPr>
        <w:t>V</w:t>
      </w:r>
      <w:r w:rsidR="00A01413" w:rsidRPr="00D93C78">
        <w:rPr>
          <w:b/>
          <w:szCs w:val="24"/>
        </w:rPr>
        <w:t>TMS</w:t>
      </w:r>
      <w:r w:rsidR="00D44F62" w:rsidRPr="00D93C78">
        <w:rPr>
          <w:b/>
          <w:szCs w:val="24"/>
        </w:rPr>
        <w:t>:</w:t>
      </w:r>
      <w:r w:rsidR="00A01413" w:rsidRPr="00D93C78">
        <w:rPr>
          <w:b/>
          <w:szCs w:val="24"/>
        </w:rPr>
        <w:t xml:space="preserve"> </w:t>
      </w:r>
      <w:r w:rsidRPr="00D93C78">
        <w:rPr>
          <w:szCs w:val="24"/>
        </w:rPr>
        <w:t xml:space="preserve"> </w:t>
      </w:r>
    </w:p>
    <w:p w:rsidR="009A7912" w:rsidRPr="00D93C78" w:rsidRDefault="009A7912" w:rsidP="00D93C78">
      <w:pPr>
        <w:pStyle w:val="BodyText"/>
        <w:spacing w:after="0"/>
        <w:rPr>
          <w:szCs w:val="24"/>
        </w:rPr>
      </w:pPr>
      <w:r w:rsidRPr="00D93C78">
        <w:rPr>
          <w:szCs w:val="24"/>
        </w:rPr>
        <w:t>(1) Groups of 20 daphnids (</w:t>
      </w:r>
      <w:r w:rsidRPr="00D93C78">
        <w:rPr>
          <w:i/>
          <w:szCs w:val="24"/>
        </w:rPr>
        <w:t>Daphnia magna</w:t>
      </w:r>
      <w:r w:rsidRPr="00D93C78">
        <w:rPr>
          <w:szCs w:val="24"/>
        </w:rPr>
        <w:t>) were exposed for 48 hours to nominal VTMS concentrations of 0, 57, 80, 115, 160, 229, 321, and 458 mg/L under static conditions.  The study protocol followed Directive 84/449/EEC, C.2. The test substance was dissolved at 1 g/L in synthetic water and stirred for 18 hours. The solution was filtered and served as the initial solution for testing.  The 48-hour EC50 was = 168.7 mg/L (nominal).  It is likely that the toxicity seen is primarily due to ethenyl silanetriol at lower concentrations where condensation reactions would be at minimal</w:t>
      </w:r>
      <w:r w:rsidR="00774FF8" w:rsidRPr="00D93C78">
        <w:rPr>
          <w:szCs w:val="24"/>
        </w:rPr>
        <w:t xml:space="preserve"> </w:t>
      </w:r>
      <w:r w:rsidR="007F06F1" w:rsidRPr="00D93C78">
        <w:rPr>
          <w:szCs w:val="24"/>
        </w:rPr>
        <w:t>(</w:t>
      </w:r>
      <w:hyperlink r:id="rId51" w:history="1">
        <w:r w:rsidR="00C62D6F" w:rsidRPr="00D93C78">
          <w:rPr>
            <w:rStyle w:val="Hyperlink"/>
            <w:sz w:val="24"/>
            <w:szCs w:val="24"/>
          </w:rPr>
          <w:t>http://www.oecd.org/env/hazard/data</w:t>
        </w:r>
      </w:hyperlink>
      <w:r w:rsidR="007F06F1" w:rsidRPr="00D93C78">
        <w:rPr>
          <w:szCs w:val="24"/>
        </w:rPr>
        <w:t>)</w:t>
      </w:r>
      <w:r w:rsidRPr="00D93C78">
        <w:rPr>
          <w:szCs w:val="24"/>
        </w:rPr>
        <w:t xml:space="preserve">.  </w:t>
      </w:r>
    </w:p>
    <w:p w:rsidR="00774FF8" w:rsidRPr="00D93C78" w:rsidRDefault="009A7912" w:rsidP="00D93C78">
      <w:pPr>
        <w:pStyle w:val="BodyText"/>
        <w:spacing w:after="0"/>
        <w:rPr>
          <w:szCs w:val="24"/>
        </w:rPr>
      </w:pPr>
      <w:r w:rsidRPr="00D93C78">
        <w:rPr>
          <w:szCs w:val="24"/>
        </w:rPr>
        <w:t>(2)</w:t>
      </w:r>
      <w:r w:rsidR="00C364BA" w:rsidRPr="00D93C78">
        <w:rPr>
          <w:szCs w:val="24"/>
        </w:rPr>
        <w:t xml:space="preserve"> </w:t>
      </w:r>
      <w:r w:rsidRPr="00D93C78">
        <w:rPr>
          <w:szCs w:val="24"/>
        </w:rPr>
        <w:t>In another study, groups of 10 daphnids (</w:t>
      </w:r>
      <w:r w:rsidRPr="00D93C78">
        <w:rPr>
          <w:i/>
          <w:szCs w:val="24"/>
        </w:rPr>
        <w:t>Daphnia magna</w:t>
      </w:r>
      <w:r w:rsidRPr="00D93C78">
        <w:rPr>
          <w:szCs w:val="24"/>
        </w:rPr>
        <w:t>) were exposed for 48 hours to nominal VTMS concentrations of 0 or 100 mg/L under static conditions.  The study protocol followed OECD TG 202 and Directive 92/69/EEC, C.2. The substance was dissolved in water and stirred for 15 minutes.    The 48-hour NOEC and the 48-hour EC0 to Daphnia magna were &gt;= 100 mg/L.  These values might even be higher, but concentrations in excess of 100 mg/L have not been tested.  The 48-hour EC50 and the 48-hour EC100 are clearly &gt; 100 mg/L.  These values could not be quantified due to the absence of toxicity of VTMS at the test concentration of 100 mg/L</w:t>
      </w:r>
      <w:r w:rsidR="007F06F1" w:rsidRPr="00D93C78">
        <w:rPr>
          <w:szCs w:val="24"/>
        </w:rPr>
        <w:t xml:space="preserve"> (</w:t>
      </w:r>
      <w:hyperlink r:id="rId52" w:history="1">
        <w:r w:rsidR="00C62D6F" w:rsidRPr="00D93C78">
          <w:rPr>
            <w:rStyle w:val="Hyperlink"/>
            <w:sz w:val="24"/>
            <w:szCs w:val="24"/>
          </w:rPr>
          <w:t>http://www.oecd.org/env/hazard/data</w:t>
        </w:r>
      </w:hyperlink>
      <w:r w:rsidR="007F06F1" w:rsidRPr="00D93C78">
        <w:rPr>
          <w:szCs w:val="24"/>
        </w:rPr>
        <w:t>)</w:t>
      </w:r>
      <w:r w:rsidRPr="00D93C78">
        <w:rPr>
          <w:szCs w:val="24"/>
        </w:rPr>
        <w:t xml:space="preserve">. </w:t>
      </w:r>
    </w:p>
    <w:p w:rsidR="00A01413" w:rsidRPr="00D93C78" w:rsidRDefault="009A7912" w:rsidP="00C53187">
      <w:pPr>
        <w:pStyle w:val="BodyText"/>
        <w:spacing w:after="0"/>
        <w:rPr>
          <w:szCs w:val="24"/>
        </w:rPr>
      </w:pPr>
      <w:r w:rsidRPr="00D93C78">
        <w:rPr>
          <w:szCs w:val="24"/>
        </w:rPr>
        <w:t>(3)</w:t>
      </w:r>
      <w:r w:rsidR="00C364BA" w:rsidRPr="00D93C78">
        <w:rPr>
          <w:szCs w:val="24"/>
        </w:rPr>
        <w:t xml:space="preserve"> </w:t>
      </w:r>
      <w:r w:rsidRPr="00D93C78">
        <w:rPr>
          <w:szCs w:val="24"/>
        </w:rPr>
        <w:t>In another Daphnia (species not specified) study, the 48-hour EC50 was &gt; 100 mg/L.  The study protocol followed OECD TG 202, part 1 "Daphnia sp., Acute Toxicity Test". Although additional study details are not available, it is known that this OECD TG study was conducted under GLP</w:t>
      </w:r>
      <w:r w:rsidR="00774FF8" w:rsidRPr="00D93C78">
        <w:rPr>
          <w:szCs w:val="24"/>
        </w:rPr>
        <w:t xml:space="preserve"> </w:t>
      </w:r>
      <w:r w:rsidR="007F06F1" w:rsidRPr="00D93C78">
        <w:rPr>
          <w:szCs w:val="24"/>
        </w:rPr>
        <w:t>(</w:t>
      </w:r>
      <w:hyperlink r:id="rId53" w:history="1">
        <w:r w:rsidR="00C62D6F" w:rsidRPr="00D93C78">
          <w:rPr>
            <w:rStyle w:val="Hyperlink"/>
            <w:sz w:val="24"/>
            <w:szCs w:val="24"/>
          </w:rPr>
          <w:t>http://www.oecd.org/env/hazard/data</w:t>
        </w:r>
      </w:hyperlink>
      <w:r w:rsidR="007F06F1" w:rsidRPr="00D93C78">
        <w:rPr>
          <w:szCs w:val="24"/>
        </w:rPr>
        <w:t>)</w:t>
      </w:r>
      <w:r w:rsidRPr="00D93C78">
        <w:rPr>
          <w:szCs w:val="24"/>
        </w:rPr>
        <w:t>.</w:t>
      </w:r>
    </w:p>
    <w:p w:rsidR="00C364BA" w:rsidRPr="00D93C78" w:rsidRDefault="00A01413" w:rsidP="00740E9A">
      <w:pPr>
        <w:pStyle w:val="BodyText"/>
        <w:spacing w:before="240" w:after="0"/>
        <w:rPr>
          <w:szCs w:val="24"/>
        </w:rPr>
      </w:pPr>
      <w:r w:rsidRPr="00D93C78">
        <w:rPr>
          <w:b/>
          <w:szCs w:val="24"/>
        </w:rPr>
        <w:t>DMSD</w:t>
      </w:r>
      <w:r w:rsidR="00D44F62" w:rsidRPr="00D93C78">
        <w:rPr>
          <w:b/>
          <w:szCs w:val="24"/>
        </w:rPr>
        <w:t>:</w:t>
      </w:r>
      <w:r w:rsidRPr="00D93C78">
        <w:rPr>
          <w:szCs w:val="24"/>
        </w:rPr>
        <w:t xml:space="preserve"> </w:t>
      </w:r>
    </w:p>
    <w:p w:rsidR="00A01413" w:rsidRPr="00D93C78" w:rsidRDefault="00A01413" w:rsidP="00D93C78">
      <w:pPr>
        <w:pStyle w:val="BodyText"/>
        <w:spacing w:after="0"/>
        <w:rPr>
          <w:szCs w:val="24"/>
        </w:rPr>
      </w:pPr>
      <w:r w:rsidRPr="00D93C78">
        <w:rPr>
          <w:szCs w:val="24"/>
        </w:rPr>
        <w:t xml:space="preserve">In an OECD TG 202 study, groups of </w:t>
      </w:r>
      <w:r w:rsidRPr="00D93C78">
        <w:rPr>
          <w:i/>
          <w:szCs w:val="24"/>
        </w:rPr>
        <w:t>Daphnia magna</w:t>
      </w:r>
      <w:r w:rsidRPr="00D93C78">
        <w:rPr>
          <w:szCs w:val="24"/>
        </w:rPr>
        <w:t xml:space="preserve"> (10 daphnids/replicate, 2 replicates/concentration) were exposed for 48 hours under static conditions to DMSD concentrations of 0 (negative control) and  120 mg/L (nominal; </w:t>
      </w:r>
      <w:r w:rsidRPr="00D93C78">
        <w:rPr>
          <w:iCs/>
          <w:szCs w:val="24"/>
        </w:rPr>
        <w:t>Drottar and Miller, 2009b</w:t>
      </w:r>
      <w:r w:rsidRPr="00D93C78">
        <w:rPr>
          <w:szCs w:val="24"/>
        </w:rPr>
        <w:t>).  No mortality or immobility was observed.  The 48-hour EC</w:t>
      </w:r>
      <w:r w:rsidRPr="00D93C78">
        <w:rPr>
          <w:szCs w:val="24"/>
          <w:vertAlign w:val="subscript"/>
        </w:rPr>
        <w:t>50</w:t>
      </w:r>
      <w:r w:rsidRPr="00D93C78">
        <w:rPr>
          <w:szCs w:val="24"/>
        </w:rPr>
        <w:t xml:space="preserve"> value for </w:t>
      </w:r>
      <w:r w:rsidRPr="00D93C78">
        <w:rPr>
          <w:i/>
          <w:szCs w:val="24"/>
        </w:rPr>
        <w:t>Daphnia magna</w:t>
      </w:r>
      <w:r w:rsidRPr="00D93C78">
        <w:rPr>
          <w:szCs w:val="24"/>
        </w:rPr>
        <w:t xml:space="preserve"> exposed to DMSD was &gt;117 mg/L (measured).</w:t>
      </w:r>
    </w:p>
    <w:p w:rsidR="00DA79C4" w:rsidRPr="00D93C78" w:rsidRDefault="00B44A39" w:rsidP="00740E9A">
      <w:pPr>
        <w:pStyle w:val="BodyText"/>
        <w:spacing w:before="240"/>
        <w:rPr>
          <w:b/>
          <w:szCs w:val="24"/>
        </w:rPr>
      </w:pPr>
      <w:r w:rsidRPr="00D93C78">
        <w:rPr>
          <w:b/>
          <w:szCs w:val="24"/>
        </w:rPr>
        <w:t xml:space="preserve">Hydrolysis product: </w:t>
      </w:r>
    </w:p>
    <w:p w:rsidR="00774FF8" w:rsidRPr="00D93C78" w:rsidRDefault="00C1433D" w:rsidP="00D93C78">
      <w:pPr>
        <w:pStyle w:val="BodyText"/>
        <w:spacing w:after="0"/>
        <w:rPr>
          <w:szCs w:val="24"/>
        </w:rPr>
      </w:pPr>
      <w:r w:rsidRPr="00D93C78">
        <w:rPr>
          <w:b/>
          <w:szCs w:val="24"/>
        </w:rPr>
        <w:t>HCl</w:t>
      </w:r>
      <w:r w:rsidR="00D44F62" w:rsidRPr="00D93C78">
        <w:rPr>
          <w:b/>
          <w:szCs w:val="24"/>
        </w:rPr>
        <w:t>:</w:t>
      </w:r>
      <w:r w:rsidRPr="00D93C78">
        <w:rPr>
          <w:szCs w:val="24"/>
        </w:rPr>
        <w:t xml:space="preserve"> </w:t>
      </w:r>
    </w:p>
    <w:p w:rsidR="00C1433D" w:rsidRPr="00D93C78" w:rsidRDefault="00C1433D" w:rsidP="00D93C78">
      <w:pPr>
        <w:pStyle w:val="BodyText"/>
        <w:spacing w:after="0"/>
        <w:rPr>
          <w:szCs w:val="24"/>
        </w:rPr>
      </w:pPr>
      <w:r w:rsidRPr="00D93C78">
        <w:rPr>
          <w:szCs w:val="24"/>
        </w:rPr>
        <w:t>The hazard of hydrochloric acid for the environment is caused by the proton (pH</w:t>
      </w:r>
      <w:r w:rsidR="00F463D5" w:rsidRPr="00D93C78">
        <w:rPr>
          <w:szCs w:val="24"/>
        </w:rPr>
        <w:t>)</w:t>
      </w:r>
      <w:r w:rsidRPr="00D93C78">
        <w:rPr>
          <w:szCs w:val="24"/>
        </w:rPr>
        <w:t xml:space="preserve"> effect.  For this reason the effect of hydrochloric acid on the organisms depends on the buffer capacity of the aquatic ecosystem.  Also the variation in acute toxicity for aquatic organisms can be explained </w:t>
      </w:r>
      <w:r w:rsidR="00F463D5" w:rsidRPr="00D93C78">
        <w:rPr>
          <w:szCs w:val="24"/>
        </w:rPr>
        <w:t>to</w:t>
      </w:r>
      <w:r w:rsidRPr="00D93C78">
        <w:rPr>
          <w:szCs w:val="24"/>
        </w:rPr>
        <w:t xml:space="preserve"> a significant extent by the variation in buffer capacity of the test medium.  The </w:t>
      </w:r>
      <w:r w:rsidR="00BE3FD4" w:rsidRPr="00D93C78">
        <w:rPr>
          <w:szCs w:val="24"/>
        </w:rPr>
        <w:t>48h EC</w:t>
      </w:r>
      <w:r w:rsidR="00BE3FD4" w:rsidRPr="00D93C78">
        <w:rPr>
          <w:szCs w:val="24"/>
          <w:vertAlign w:val="subscript"/>
        </w:rPr>
        <w:t>50</w:t>
      </w:r>
      <w:r w:rsidR="00BE3FD4" w:rsidRPr="00D93C78">
        <w:rPr>
          <w:szCs w:val="24"/>
        </w:rPr>
        <w:t xml:space="preserve"> for </w:t>
      </w:r>
      <w:r w:rsidR="00BE3FD4" w:rsidRPr="00D93C78">
        <w:rPr>
          <w:i/>
          <w:szCs w:val="24"/>
        </w:rPr>
        <w:t>Daphnia magna</w:t>
      </w:r>
      <w:r w:rsidR="00BE3FD4" w:rsidRPr="00D93C78">
        <w:rPr>
          <w:szCs w:val="24"/>
        </w:rPr>
        <w:t xml:space="preserve"> </w:t>
      </w:r>
      <w:r w:rsidRPr="00D93C78">
        <w:rPr>
          <w:szCs w:val="24"/>
        </w:rPr>
        <w:t xml:space="preserve">according to OECD TG 202 </w:t>
      </w:r>
      <w:r w:rsidR="00BE3FD4" w:rsidRPr="00D93C78">
        <w:rPr>
          <w:szCs w:val="24"/>
        </w:rPr>
        <w:t>is</w:t>
      </w:r>
      <w:r w:rsidRPr="00D93C78">
        <w:rPr>
          <w:szCs w:val="24"/>
        </w:rPr>
        <w:t xml:space="preserve"> </w:t>
      </w:r>
      <w:r w:rsidR="00A05E0D" w:rsidRPr="00D93C78">
        <w:rPr>
          <w:szCs w:val="24"/>
        </w:rPr>
        <w:t>= 0.492 mg/L</w:t>
      </w:r>
      <w:r w:rsidRPr="00D93C78">
        <w:rPr>
          <w:szCs w:val="24"/>
        </w:rPr>
        <w:t xml:space="preserve"> (</w:t>
      </w:r>
      <w:r w:rsidR="00A05E0D" w:rsidRPr="00D93C78">
        <w:rPr>
          <w:szCs w:val="24"/>
        </w:rPr>
        <w:t>pH 5.3</w:t>
      </w:r>
      <w:r w:rsidRPr="00D93C78">
        <w:rPr>
          <w:szCs w:val="24"/>
        </w:rPr>
        <w:t xml:space="preserve">) </w:t>
      </w:r>
      <w:r w:rsidR="00BE3FD4" w:rsidRPr="00D93C78">
        <w:rPr>
          <w:szCs w:val="24"/>
        </w:rPr>
        <w:t>based on immobilization</w:t>
      </w:r>
      <w:r w:rsidR="007F06F1" w:rsidRPr="00D93C78">
        <w:rPr>
          <w:szCs w:val="24"/>
        </w:rPr>
        <w:t xml:space="preserve"> (</w:t>
      </w:r>
      <w:hyperlink r:id="rId54" w:history="1">
        <w:r w:rsidR="00C62D6F" w:rsidRPr="00D93C78">
          <w:rPr>
            <w:rStyle w:val="Hyperlink"/>
            <w:sz w:val="24"/>
            <w:szCs w:val="24"/>
          </w:rPr>
          <w:t>http://www.oecd.org/env/hazard/data</w:t>
        </w:r>
      </w:hyperlink>
      <w:r w:rsidR="007F06F1" w:rsidRPr="00D93C78">
        <w:rPr>
          <w:szCs w:val="24"/>
        </w:rPr>
        <w:t>)</w:t>
      </w:r>
      <w:r w:rsidRPr="00D93C78">
        <w:rPr>
          <w:szCs w:val="24"/>
        </w:rPr>
        <w:t>.</w:t>
      </w:r>
    </w:p>
    <w:p w:rsidR="00C1433D" w:rsidRDefault="00C1433D" w:rsidP="00740E9A">
      <w:pPr>
        <w:pStyle w:val="BodyText"/>
        <w:spacing w:before="240" w:after="0"/>
        <w:rPr>
          <w:i/>
          <w:szCs w:val="24"/>
        </w:rPr>
      </w:pPr>
      <w:r w:rsidRPr="00D93C78">
        <w:rPr>
          <w:i/>
          <w:szCs w:val="24"/>
        </w:rPr>
        <w:t>Algae</w:t>
      </w:r>
    </w:p>
    <w:p w:rsidR="00DA79C4" w:rsidRPr="00D93C78" w:rsidRDefault="00DA79C4" w:rsidP="00740E9A">
      <w:pPr>
        <w:pStyle w:val="BodyText"/>
        <w:spacing w:before="240" w:after="0"/>
        <w:rPr>
          <w:b/>
          <w:szCs w:val="24"/>
        </w:rPr>
      </w:pPr>
      <w:r w:rsidRPr="00D93C78">
        <w:rPr>
          <w:b/>
          <w:szCs w:val="24"/>
        </w:rPr>
        <w:t xml:space="preserve">Supporting substance: </w:t>
      </w:r>
    </w:p>
    <w:p w:rsidR="00601EA7" w:rsidRPr="00D93C78" w:rsidRDefault="006042BB" w:rsidP="00740E9A">
      <w:pPr>
        <w:spacing w:before="240"/>
        <w:jc w:val="both"/>
      </w:pPr>
      <w:r w:rsidRPr="00D93C78">
        <w:rPr>
          <w:b/>
        </w:rPr>
        <w:t>V</w:t>
      </w:r>
      <w:r w:rsidR="00E74895" w:rsidRPr="00D93C78">
        <w:rPr>
          <w:b/>
        </w:rPr>
        <w:t>TMS</w:t>
      </w:r>
      <w:r w:rsidR="00D44F62" w:rsidRPr="00D93C78">
        <w:rPr>
          <w:b/>
        </w:rPr>
        <w:t>:</w:t>
      </w:r>
      <w:r w:rsidR="00BE53BF" w:rsidRPr="00D93C78">
        <w:t xml:space="preserve"> </w:t>
      </w:r>
      <w:r w:rsidRPr="00D93C78">
        <w:t xml:space="preserve"> </w:t>
      </w:r>
    </w:p>
    <w:p w:rsidR="006042BB" w:rsidRPr="00D93C78" w:rsidRDefault="006042BB" w:rsidP="00D93C78">
      <w:pPr>
        <w:jc w:val="both"/>
        <w:rPr>
          <w:lang w:val="en-GB"/>
        </w:rPr>
      </w:pPr>
      <w:r w:rsidRPr="00D93C78">
        <w:t>(1) Algae (</w:t>
      </w:r>
      <w:r w:rsidRPr="00D93C78">
        <w:rPr>
          <w:i/>
        </w:rPr>
        <w:t>Scenedesmus subspicatus</w:t>
      </w:r>
      <w:r w:rsidRPr="00D93C78">
        <w:t>) were exposed for 72 hours to nominal VTMS concentrations of 0, 1.0, 3.2, 10, 32 and 100 mg/L.  The study followed OECD TG 201 and Directive 92/69/EEC, C.3.  The substance was dissolved in water and stirred for 15 minutes.  The 72-hour LOEC was = 32 mg/L.  The growth rate was statistically significantly reduced first at the highest test concentration of 100 mg/L.  The 72-hour NOEC was = 10 mg/L, since up to and including this test concentration both the mean biomass and the mean growth rates of the algae were not statistically significantly lower than in the control.  The 72-hour EC</w:t>
      </w:r>
      <w:r w:rsidRPr="00D93C78">
        <w:rPr>
          <w:vertAlign w:val="subscript"/>
        </w:rPr>
        <w:t>50</w:t>
      </w:r>
      <w:r w:rsidRPr="00D93C78">
        <w:t xml:space="preserve"> for algal biomass and growth rate were &gt;100 mg/L (nominal).  The 72-hour EC</w:t>
      </w:r>
      <w:r w:rsidRPr="00D93C78">
        <w:rPr>
          <w:vertAlign w:val="subscript"/>
        </w:rPr>
        <w:t>10</w:t>
      </w:r>
      <w:r w:rsidRPr="00D93C78">
        <w:t xml:space="preserve"> was = 63 mg/L and &gt; 100 mg/L based on the biomass and growth rate, respectively.  </w:t>
      </w:r>
      <w:r w:rsidRPr="00D93C78">
        <w:rPr>
          <w:lang w:val="en-GB"/>
        </w:rPr>
        <w:t>It is likely that the toxicity seen is primarily due to ethenyl silanetriol at lower concentrations where condensation reactions would be at minimal</w:t>
      </w:r>
      <w:r w:rsidR="007F06F1" w:rsidRPr="00D93C78">
        <w:rPr>
          <w:lang w:val="en-GB"/>
        </w:rPr>
        <w:t xml:space="preserve"> </w:t>
      </w:r>
      <w:r w:rsidR="007F06F1" w:rsidRPr="00D93C78">
        <w:t>(</w:t>
      </w:r>
      <w:hyperlink r:id="rId55" w:history="1">
        <w:r w:rsidR="00C62D6F" w:rsidRPr="00D93C78">
          <w:rPr>
            <w:rStyle w:val="Hyperlink"/>
            <w:sz w:val="24"/>
          </w:rPr>
          <w:t>http://www.oecd.org/env/hazard/data</w:t>
        </w:r>
      </w:hyperlink>
      <w:r w:rsidR="007F06F1" w:rsidRPr="00D93C78">
        <w:t>)</w:t>
      </w:r>
      <w:r w:rsidRPr="00D93C78">
        <w:rPr>
          <w:lang w:val="en-GB"/>
        </w:rPr>
        <w:t xml:space="preserve">. </w:t>
      </w:r>
    </w:p>
    <w:p w:rsidR="006042BB" w:rsidRPr="00D93C78" w:rsidRDefault="006042BB" w:rsidP="00D93C78">
      <w:pPr>
        <w:jc w:val="both"/>
      </w:pPr>
      <w:r w:rsidRPr="00D93C78">
        <w:rPr>
          <w:lang w:val="en-GB"/>
        </w:rPr>
        <w:t xml:space="preserve">(2) </w:t>
      </w:r>
      <w:r w:rsidRPr="00D93C78">
        <w:t>In another test, algae (</w:t>
      </w:r>
      <w:r w:rsidRPr="00D93C78">
        <w:rPr>
          <w:i/>
        </w:rPr>
        <w:t>Scenedesmus subspicatus</w:t>
      </w:r>
      <w:r w:rsidRPr="00D93C78">
        <w:t>) were exposed for 72 hours to nominal VTMS concentrations of 0, 64, 106, 181, 319, 532, and 957 mg/L.  The study followed Guideline 88/302/EEC.  The test substance was dissolved at 1 g/L in water and stirred for 18 hours. The solution was filtered and served as the initial solution for testing.  On the basis of biomass the 72 hr EbC</w:t>
      </w:r>
      <w:r w:rsidRPr="00D93C78">
        <w:rPr>
          <w:vertAlign w:val="subscript"/>
        </w:rPr>
        <w:t>90</w:t>
      </w:r>
      <w:r w:rsidRPr="00D93C78">
        <w:t xml:space="preserve"> was &gt; 957 mg/L. On the basis of growth rate, the (0-72 hr) ErC</w:t>
      </w:r>
      <w:r w:rsidRPr="00D93C78">
        <w:rPr>
          <w:vertAlign w:val="subscript"/>
        </w:rPr>
        <w:t>50</w:t>
      </w:r>
      <w:r w:rsidRPr="00D93C78">
        <w:t xml:space="preserve"> was &gt; 957 mg/L; (0-72 hr) ErC</w:t>
      </w:r>
      <w:r w:rsidRPr="00D93C78">
        <w:rPr>
          <w:vertAlign w:val="subscript"/>
        </w:rPr>
        <w:t>10</w:t>
      </w:r>
      <w:r w:rsidRPr="00D93C78">
        <w:t xml:space="preserve"> was &gt; 957 mg/L; and (0-72 hr) ErC</w:t>
      </w:r>
      <w:r w:rsidRPr="00D93C78">
        <w:rPr>
          <w:vertAlign w:val="subscript"/>
        </w:rPr>
        <w:t>90</w:t>
      </w:r>
      <w:r w:rsidRPr="00D93C78">
        <w:t xml:space="preserve"> was &gt; 957 mg/L</w:t>
      </w:r>
      <w:r w:rsidR="007F06F1" w:rsidRPr="00D93C78">
        <w:t xml:space="preserve"> (</w:t>
      </w:r>
      <w:hyperlink r:id="rId56" w:history="1">
        <w:r w:rsidR="00C62D6F" w:rsidRPr="00D93C78">
          <w:rPr>
            <w:rStyle w:val="Hyperlink"/>
            <w:sz w:val="24"/>
          </w:rPr>
          <w:t>http://www.oecd.org/env/hazard/data</w:t>
        </w:r>
      </w:hyperlink>
      <w:r w:rsidR="007F06F1" w:rsidRPr="00D93C78">
        <w:t>)</w:t>
      </w:r>
      <w:r w:rsidRPr="00D93C78">
        <w:t xml:space="preserve">.  </w:t>
      </w:r>
    </w:p>
    <w:p w:rsidR="006042BB" w:rsidRPr="00D93C78" w:rsidRDefault="006042BB" w:rsidP="00D93C78">
      <w:pPr>
        <w:jc w:val="both"/>
      </w:pPr>
      <w:r w:rsidRPr="00D93C78">
        <w:t>(3) In another algae (species not available) study, the 72-hour EC50 based on growth rate or biomass was &gt; 89 mg/L and the 72-hour NOEC for growth rate or biomass was &gt; 89 mg/L.  The study protocol followed OECD TG 201 "Algae, Growth Inhibition Test". Although additional study details are not available, it is known that this OECD TG study was conducted under GLP</w:t>
      </w:r>
      <w:r w:rsidR="007F06F1" w:rsidRPr="00D93C78">
        <w:t xml:space="preserve"> (</w:t>
      </w:r>
      <w:hyperlink r:id="rId57" w:history="1">
        <w:r w:rsidR="00C62D6F" w:rsidRPr="00D93C78">
          <w:rPr>
            <w:rStyle w:val="Hyperlink"/>
            <w:sz w:val="24"/>
          </w:rPr>
          <w:t>http://www.oecd.org/env/hazard/data</w:t>
        </w:r>
      </w:hyperlink>
      <w:r w:rsidR="007F06F1" w:rsidRPr="00D93C78">
        <w:t>)</w:t>
      </w:r>
      <w:r w:rsidRPr="00D93C78">
        <w:t>.</w:t>
      </w:r>
    </w:p>
    <w:p w:rsidR="00601EA7" w:rsidRPr="00D93C78" w:rsidRDefault="00E74895" w:rsidP="00740E9A">
      <w:pPr>
        <w:pStyle w:val="BodyText"/>
        <w:spacing w:before="240" w:after="0"/>
        <w:rPr>
          <w:szCs w:val="24"/>
        </w:rPr>
      </w:pPr>
      <w:r w:rsidRPr="00D93C78">
        <w:rPr>
          <w:b/>
          <w:szCs w:val="24"/>
        </w:rPr>
        <w:t>DMSD</w:t>
      </w:r>
      <w:r w:rsidR="00D44F62" w:rsidRPr="00D93C78">
        <w:rPr>
          <w:b/>
          <w:szCs w:val="24"/>
        </w:rPr>
        <w:t>:</w:t>
      </w:r>
      <w:r w:rsidRPr="00D93C78">
        <w:rPr>
          <w:szCs w:val="24"/>
        </w:rPr>
        <w:t xml:space="preserve"> </w:t>
      </w:r>
    </w:p>
    <w:p w:rsidR="00E74895" w:rsidRPr="00D93C78" w:rsidRDefault="00E74895" w:rsidP="00D93C78">
      <w:pPr>
        <w:pStyle w:val="BodyText"/>
        <w:spacing w:after="0"/>
        <w:rPr>
          <w:b/>
          <w:szCs w:val="24"/>
        </w:rPr>
      </w:pPr>
      <w:r w:rsidRPr="00D93C78">
        <w:rPr>
          <w:szCs w:val="24"/>
        </w:rPr>
        <w:t xml:space="preserve">In an OECD TG 201 "Algae, Growth Inhibition Test", </w:t>
      </w:r>
      <w:r w:rsidRPr="00D93C78">
        <w:rPr>
          <w:i/>
          <w:szCs w:val="24"/>
        </w:rPr>
        <w:t xml:space="preserve">Pseudokirchneriella subcapitata </w:t>
      </w:r>
      <w:r w:rsidRPr="00D93C78">
        <w:rPr>
          <w:szCs w:val="24"/>
        </w:rPr>
        <w:t>were exposed under static conditions to DMSD at concentrations of 0 (negative control), 7.5, 15, 30, 60, 120 mg/L (Jezowski, 2008). The E</w:t>
      </w:r>
      <w:r w:rsidRPr="00D93C78">
        <w:rPr>
          <w:szCs w:val="24"/>
          <w:vertAlign w:val="subscript"/>
        </w:rPr>
        <w:t>y</w:t>
      </w:r>
      <w:r w:rsidRPr="00D93C78">
        <w:rPr>
          <w:szCs w:val="24"/>
        </w:rPr>
        <w:t>C</w:t>
      </w:r>
      <w:r w:rsidRPr="00D93C78">
        <w:rPr>
          <w:szCs w:val="24"/>
          <w:vertAlign w:val="subscript"/>
        </w:rPr>
        <w:t>50</w:t>
      </w:r>
      <w:r w:rsidRPr="00D93C78">
        <w:rPr>
          <w:szCs w:val="24"/>
        </w:rPr>
        <w:t xml:space="preserve"> and E</w:t>
      </w:r>
      <w:r w:rsidRPr="00D93C78">
        <w:rPr>
          <w:szCs w:val="24"/>
          <w:vertAlign w:val="subscript"/>
        </w:rPr>
        <w:t>r</w:t>
      </w:r>
      <w:r w:rsidRPr="00D93C78">
        <w:rPr>
          <w:szCs w:val="24"/>
        </w:rPr>
        <w:t>C</w:t>
      </w:r>
      <w:r w:rsidRPr="00D93C78">
        <w:rPr>
          <w:szCs w:val="24"/>
          <w:vertAlign w:val="subscript"/>
        </w:rPr>
        <w:t>50</w:t>
      </w:r>
      <w:r w:rsidRPr="00D93C78">
        <w:rPr>
          <w:szCs w:val="24"/>
        </w:rPr>
        <w:t xml:space="preserve"> values for </w:t>
      </w:r>
      <w:r w:rsidRPr="00D93C78">
        <w:rPr>
          <w:i/>
          <w:szCs w:val="24"/>
        </w:rPr>
        <w:t>Pseudokirchneriella subcapitata</w:t>
      </w:r>
      <w:r w:rsidRPr="00D93C78">
        <w:rPr>
          <w:szCs w:val="24"/>
        </w:rPr>
        <w:t xml:space="preserve"> exposed to </w:t>
      </w:r>
      <w:r w:rsidR="00BE53BF" w:rsidRPr="00D93C78">
        <w:rPr>
          <w:szCs w:val="24"/>
        </w:rPr>
        <w:t>DMSD</w:t>
      </w:r>
      <w:r w:rsidRPr="00D93C78">
        <w:rPr>
          <w:szCs w:val="24"/>
        </w:rPr>
        <w:t xml:space="preserve"> were estimated to be &gt;118 mg/L, the highest concentration tested. The 72-hour NOEC values for yield and growth rate were 118 mg/L.</w:t>
      </w:r>
    </w:p>
    <w:p w:rsidR="00DA79C4" w:rsidRPr="00D93C78" w:rsidRDefault="00610A78" w:rsidP="00740E9A">
      <w:pPr>
        <w:pStyle w:val="BodyText"/>
        <w:spacing w:before="240"/>
        <w:rPr>
          <w:b/>
          <w:szCs w:val="24"/>
        </w:rPr>
      </w:pPr>
      <w:r w:rsidRPr="00D93C78">
        <w:rPr>
          <w:b/>
          <w:szCs w:val="24"/>
        </w:rPr>
        <w:t xml:space="preserve">Hydrolysis product: </w:t>
      </w:r>
    </w:p>
    <w:p w:rsidR="00CE5EB1" w:rsidRPr="00D93C78" w:rsidRDefault="00C1433D" w:rsidP="00D93C78">
      <w:pPr>
        <w:pStyle w:val="BodyText"/>
        <w:spacing w:after="0"/>
        <w:rPr>
          <w:szCs w:val="24"/>
        </w:rPr>
      </w:pPr>
      <w:r w:rsidRPr="00D93C78">
        <w:rPr>
          <w:b/>
          <w:szCs w:val="24"/>
        </w:rPr>
        <w:t>HCl</w:t>
      </w:r>
      <w:r w:rsidR="00D44F62" w:rsidRPr="00D93C78">
        <w:rPr>
          <w:b/>
          <w:szCs w:val="24"/>
        </w:rPr>
        <w:t>:</w:t>
      </w:r>
      <w:r w:rsidRPr="00D93C78">
        <w:rPr>
          <w:szCs w:val="24"/>
        </w:rPr>
        <w:t xml:space="preserve"> </w:t>
      </w:r>
    </w:p>
    <w:p w:rsidR="00C1433D" w:rsidRPr="00D93C78" w:rsidRDefault="00C1433D" w:rsidP="00D93C78">
      <w:pPr>
        <w:pStyle w:val="BodyText"/>
        <w:spacing w:after="0"/>
        <w:rPr>
          <w:szCs w:val="24"/>
        </w:rPr>
      </w:pPr>
      <w:r w:rsidRPr="00D93C78">
        <w:rPr>
          <w:szCs w:val="24"/>
        </w:rPr>
        <w:t>The hazard of hydrochloric acid for the environment is caused by the proton (pH</w:t>
      </w:r>
      <w:r w:rsidR="00BE3FD4" w:rsidRPr="00D93C78">
        <w:rPr>
          <w:szCs w:val="24"/>
        </w:rPr>
        <w:t>)</w:t>
      </w:r>
      <w:r w:rsidRPr="00D93C78">
        <w:rPr>
          <w:szCs w:val="24"/>
        </w:rPr>
        <w:t xml:space="preserve"> effect. For this reason the effect of hydrochloric acid on the organisms depends on the buffer capacity of the aquatic ecosystem.  Also the variation in acute toxicity for aquatic organisms can be explained </w:t>
      </w:r>
      <w:r w:rsidR="00F463D5" w:rsidRPr="00D93C78">
        <w:rPr>
          <w:szCs w:val="24"/>
        </w:rPr>
        <w:t>to</w:t>
      </w:r>
      <w:r w:rsidRPr="00D93C78">
        <w:rPr>
          <w:szCs w:val="24"/>
        </w:rPr>
        <w:t xml:space="preserve"> a significant extent by the variation in buffer capacity of the test medium.  For </w:t>
      </w:r>
      <w:r w:rsidRPr="00D93C78">
        <w:rPr>
          <w:i/>
          <w:szCs w:val="24"/>
        </w:rPr>
        <w:t>Selenastrum capricornutum</w:t>
      </w:r>
      <w:r w:rsidRPr="00D93C78">
        <w:rPr>
          <w:szCs w:val="24"/>
        </w:rPr>
        <w:t>, 72h EC</w:t>
      </w:r>
      <w:r w:rsidRPr="00D93C78">
        <w:rPr>
          <w:szCs w:val="24"/>
          <w:vertAlign w:val="subscript"/>
        </w:rPr>
        <w:t>50</w:t>
      </w:r>
      <w:r w:rsidRPr="00D93C78">
        <w:rPr>
          <w:szCs w:val="24"/>
        </w:rPr>
        <w:t xml:space="preserve"> </w:t>
      </w:r>
      <w:r w:rsidR="00BE3FD4" w:rsidRPr="00D93C78">
        <w:rPr>
          <w:szCs w:val="24"/>
        </w:rPr>
        <w:t xml:space="preserve">is 0780 mg/L at pH 5.1 for biomass, </w:t>
      </w:r>
      <w:r w:rsidR="00A05E0D" w:rsidRPr="00D93C78">
        <w:rPr>
          <w:szCs w:val="24"/>
        </w:rPr>
        <w:t>0.492 mg/L</w:t>
      </w:r>
      <w:r w:rsidR="00BE3FD4" w:rsidRPr="00D93C78">
        <w:rPr>
          <w:szCs w:val="24"/>
        </w:rPr>
        <w:t xml:space="preserve"> at pH 5.3 for growth rate</w:t>
      </w:r>
      <w:r w:rsidR="00774FF8" w:rsidRPr="00D93C78">
        <w:rPr>
          <w:szCs w:val="24"/>
        </w:rPr>
        <w:t xml:space="preserve">, </w:t>
      </w:r>
      <w:r w:rsidRPr="00D93C78">
        <w:rPr>
          <w:szCs w:val="24"/>
        </w:rPr>
        <w:t xml:space="preserve"> and</w:t>
      </w:r>
      <w:r w:rsidR="00BE3FD4" w:rsidRPr="00D93C78">
        <w:rPr>
          <w:szCs w:val="24"/>
        </w:rPr>
        <w:t xml:space="preserve"> the 72h NOEC is</w:t>
      </w:r>
      <w:r w:rsidRPr="00D93C78">
        <w:rPr>
          <w:szCs w:val="24"/>
        </w:rPr>
        <w:t xml:space="preserve"> </w:t>
      </w:r>
      <w:r w:rsidR="00A05E0D" w:rsidRPr="00D93C78">
        <w:rPr>
          <w:szCs w:val="24"/>
        </w:rPr>
        <w:t>0.097 mg/L</w:t>
      </w:r>
      <w:r w:rsidRPr="00D93C78">
        <w:rPr>
          <w:szCs w:val="24"/>
        </w:rPr>
        <w:t xml:space="preserve"> </w:t>
      </w:r>
      <w:r w:rsidR="00BE3FD4" w:rsidRPr="00D93C78">
        <w:rPr>
          <w:szCs w:val="24"/>
        </w:rPr>
        <w:t xml:space="preserve">at </w:t>
      </w:r>
      <w:r w:rsidR="00A05E0D" w:rsidRPr="00D93C78">
        <w:rPr>
          <w:szCs w:val="24"/>
        </w:rPr>
        <w:t>pH 6.0</w:t>
      </w:r>
      <w:r w:rsidR="00BE3FD4" w:rsidRPr="00D93C78">
        <w:rPr>
          <w:szCs w:val="24"/>
        </w:rPr>
        <w:t xml:space="preserve"> for biomass and growth rate</w:t>
      </w:r>
      <w:r w:rsidRPr="00D93C78">
        <w:rPr>
          <w:szCs w:val="24"/>
        </w:rPr>
        <w:t>.  This study was conducted according to OECD TG 201</w:t>
      </w:r>
      <w:r w:rsidR="007F06F1" w:rsidRPr="00D93C78">
        <w:rPr>
          <w:szCs w:val="24"/>
        </w:rPr>
        <w:t xml:space="preserve"> (</w:t>
      </w:r>
      <w:hyperlink r:id="rId58" w:history="1">
        <w:r w:rsidR="00C62D6F" w:rsidRPr="00D93C78">
          <w:rPr>
            <w:rStyle w:val="Hyperlink"/>
            <w:sz w:val="24"/>
            <w:szCs w:val="24"/>
          </w:rPr>
          <w:t>http://www.oecd.org/env/hazard/data</w:t>
        </w:r>
      </w:hyperlink>
      <w:r w:rsidR="007F06F1" w:rsidRPr="00D93C78">
        <w:rPr>
          <w:szCs w:val="24"/>
        </w:rPr>
        <w:t>)</w:t>
      </w:r>
      <w:r w:rsidRPr="00D93C78">
        <w:rPr>
          <w:szCs w:val="24"/>
        </w:rPr>
        <w:t>.</w:t>
      </w:r>
    </w:p>
    <w:p w:rsidR="00C1433D" w:rsidRPr="00D93C78" w:rsidRDefault="00740E9A" w:rsidP="00D93C78">
      <w:pPr>
        <w:pStyle w:val="Caption"/>
        <w:ind w:left="0"/>
        <w:jc w:val="both"/>
        <w:rPr>
          <w:rFonts w:ascii="Times New Roman" w:hAnsi="Times New Roman"/>
          <w:szCs w:val="24"/>
        </w:rPr>
      </w:pPr>
      <w:bookmarkStart w:id="159" w:name="_Toc231359075"/>
      <w:bookmarkStart w:id="160" w:name="_Toc310335212"/>
      <w:bookmarkStart w:id="161" w:name="_Toc157396530"/>
      <w:bookmarkStart w:id="162" w:name="_Toc157396541"/>
      <w:bookmarkStart w:id="163" w:name="_Toc157396552"/>
      <w:bookmarkStart w:id="164" w:name="_Toc157396563"/>
      <w:bookmarkStart w:id="165" w:name="_Toc157396574"/>
      <w:bookmarkStart w:id="166" w:name="_Toc157396585"/>
      <w:bookmarkStart w:id="167" w:name="_Toc157396596"/>
      <w:bookmarkStart w:id="168" w:name="_Toc157396607"/>
      <w:bookmarkStart w:id="169" w:name="_Toc157396618"/>
      <w:bookmarkStart w:id="170" w:name="_Toc157396629"/>
      <w:bookmarkStart w:id="171" w:name="_Toc157396640"/>
      <w:bookmarkStart w:id="172" w:name="_Toc171494332"/>
      <w:bookmarkStart w:id="173" w:name="_Toc203461452"/>
      <w:bookmarkStart w:id="174" w:name="_Toc213054195"/>
      <w:r>
        <w:rPr>
          <w:rFonts w:ascii="Times New Roman" w:hAnsi="Times New Roman"/>
          <w:szCs w:val="24"/>
        </w:rPr>
        <w:t xml:space="preserve"> </w:t>
      </w:r>
      <w:r w:rsidR="00C1433D" w:rsidRPr="00D93C78">
        <w:rPr>
          <w:rFonts w:ascii="Times New Roman" w:hAnsi="Times New Roman"/>
          <w:szCs w:val="24"/>
        </w:rPr>
        <w:t xml:space="preserve">Table </w:t>
      </w:r>
      <w:r w:rsidR="00C02AE0" w:rsidRPr="00D93C78">
        <w:rPr>
          <w:rFonts w:ascii="Times New Roman" w:hAnsi="Times New Roman"/>
          <w:szCs w:val="24"/>
        </w:rPr>
        <w:t>1</w:t>
      </w:r>
      <w:r w:rsidR="00DF6E31" w:rsidRPr="00D93C78">
        <w:rPr>
          <w:rFonts w:ascii="Times New Roman" w:hAnsi="Times New Roman"/>
          <w:szCs w:val="24"/>
        </w:rPr>
        <w:t>2</w:t>
      </w:r>
      <w:r w:rsidR="00C1433D" w:rsidRPr="00D93C78">
        <w:rPr>
          <w:rFonts w:ascii="Times New Roman" w:hAnsi="Times New Roman"/>
          <w:bCs w:val="0"/>
          <w:szCs w:val="24"/>
        </w:rPr>
        <w:t xml:space="preserve"> </w:t>
      </w:r>
      <w:r w:rsidR="00C53187">
        <w:rPr>
          <w:rFonts w:ascii="Times New Roman" w:hAnsi="Times New Roman"/>
          <w:bCs w:val="0"/>
          <w:szCs w:val="24"/>
        </w:rPr>
        <w:t xml:space="preserve">  </w:t>
      </w:r>
      <w:r w:rsidR="00C1433D" w:rsidRPr="00D93C78">
        <w:rPr>
          <w:rFonts w:ascii="Times New Roman" w:hAnsi="Times New Roman"/>
          <w:bCs w:val="0"/>
          <w:szCs w:val="24"/>
        </w:rPr>
        <w:t>Summary of Acute Aquatic Toxicity</w:t>
      </w:r>
      <w:bookmarkEnd w:id="159"/>
      <w:bookmarkEnd w:id="160"/>
      <w:r w:rsidR="00C1433D" w:rsidRPr="00D93C78">
        <w:rPr>
          <w:rFonts w:ascii="Times New Roman" w:hAnsi="Times New Roman"/>
          <w:bCs w:val="0"/>
          <w:szCs w:val="24"/>
        </w:rPr>
        <w:t xml:space="preserve"> </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690"/>
        <w:gridCol w:w="1628"/>
        <w:gridCol w:w="1990"/>
        <w:gridCol w:w="1447"/>
        <w:gridCol w:w="2804"/>
      </w:tblGrid>
      <w:tr w:rsidR="00EA72C1" w:rsidRPr="00D93C78" w:rsidTr="00F1532E">
        <w:trPr>
          <w:tblHeader/>
        </w:trPr>
        <w:tc>
          <w:tcPr>
            <w:tcW w:w="1680" w:type="dxa"/>
            <w:tcBorders>
              <w:top w:val="single" w:sz="12" w:space="0" w:color="auto"/>
              <w:bottom w:val="single" w:sz="12" w:space="0" w:color="auto"/>
            </w:tcBorders>
          </w:tcPr>
          <w:p w:rsidR="00EA72C1" w:rsidRPr="00C53187" w:rsidRDefault="00EA72C1" w:rsidP="00C53187">
            <w:pPr>
              <w:pStyle w:val="MSDS-TZeile"/>
              <w:ind w:left="0"/>
              <w:jc w:val="center"/>
              <w:rPr>
                <w:rFonts w:ascii="Times New Roman" w:hAnsi="Times New Roman" w:cs="Times New Roman"/>
                <w:b/>
                <w:lang w:val="en-US"/>
              </w:rPr>
            </w:pPr>
            <w:r w:rsidRPr="00C53187">
              <w:rPr>
                <w:rFonts w:ascii="Times New Roman" w:hAnsi="Times New Roman" w:cs="Times New Roman"/>
                <w:b/>
                <w:lang w:val="en-US"/>
              </w:rPr>
              <w:t>Test substance</w:t>
            </w:r>
          </w:p>
        </w:tc>
        <w:tc>
          <w:tcPr>
            <w:tcW w:w="1620" w:type="dxa"/>
            <w:tcBorders>
              <w:top w:val="single" w:sz="12" w:space="0" w:color="auto"/>
              <w:bottom w:val="single" w:sz="12" w:space="0" w:color="auto"/>
            </w:tcBorders>
          </w:tcPr>
          <w:p w:rsidR="00EA72C1" w:rsidRPr="00C53187" w:rsidRDefault="00EA72C1" w:rsidP="00C53187">
            <w:pPr>
              <w:pStyle w:val="MSDS-TZeile"/>
              <w:ind w:left="0"/>
              <w:jc w:val="center"/>
              <w:rPr>
                <w:rFonts w:ascii="Times New Roman" w:hAnsi="Times New Roman" w:cs="Times New Roman"/>
                <w:b/>
                <w:lang w:val="en-US"/>
              </w:rPr>
            </w:pPr>
            <w:r w:rsidRPr="00C53187">
              <w:rPr>
                <w:rFonts w:ascii="Times New Roman" w:hAnsi="Times New Roman" w:cs="Times New Roman"/>
                <w:b/>
                <w:lang w:val="en-US"/>
              </w:rPr>
              <w:t>Guideline; Test type</w:t>
            </w:r>
          </w:p>
        </w:tc>
        <w:tc>
          <w:tcPr>
            <w:tcW w:w="1980" w:type="dxa"/>
            <w:tcBorders>
              <w:top w:val="single" w:sz="12" w:space="0" w:color="auto"/>
              <w:bottom w:val="single" w:sz="12" w:space="0" w:color="auto"/>
            </w:tcBorders>
          </w:tcPr>
          <w:p w:rsidR="00EA72C1" w:rsidRPr="00C53187" w:rsidRDefault="00EA72C1" w:rsidP="00C53187">
            <w:pPr>
              <w:pStyle w:val="MSDS-TZeile"/>
              <w:ind w:left="0"/>
              <w:jc w:val="center"/>
              <w:rPr>
                <w:rFonts w:ascii="Times New Roman" w:hAnsi="Times New Roman" w:cs="Times New Roman"/>
                <w:b/>
                <w:lang w:val="en-US"/>
              </w:rPr>
            </w:pPr>
            <w:r w:rsidRPr="00C53187">
              <w:rPr>
                <w:rFonts w:ascii="Times New Roman" w:hAnsi="Times New Roman" w:cs="Times New Roman"/>
                <w:b/>
                <w:lang w:val="en-US"/>
              </w:rPr>
              <w:t>Species</w:t>
            </w:r>
          </w:p>
        </w:tc>
        <w:tc>
          <w:tcPr>
            <w:tcW w:w="1440" w:type="dxa"/>
            <w:tcBorders>
              <w:top w:val="single" w:sz="12" w:space="0" w:color="auto"/>
              <w:bottom w:val="single" w:sz="12" w:space="0" w:color="auto"/>
            </w:tcBorders>
          </w:tcPr>
          <w:p w:rsidR="00EA72C1" w:rsidRPr="00C53187" w:rsidRDefault="00EA72C1" w:rsidP="00C53187">
            <w:pPr>
              <w:pStyle w:val="MSDS-TZeile"/>
              <w:ind w:left="0"/>
              <w:jc w:val="center"/>
              <w:rPr>
                <w:rFonts w:ascii="Times New Roman" w:hAnsi="Times New Roman" w:cs="Times New Roman"/>
                <w:b/>
                <w:lang w:val="en-US"/>
              </w:rPr>
            </w:pPr>
            <w:r w:rsidRPr="00C53187">
              <w:rPr>
                <w:rFonts w:ascii="Times New Roman" w:hAnsi="Times New Roman" w:cs="Times New Roman"/>
                <w:b/>
                <w:lang w:val="en-US"/>
              </w:rPr>
              <w:t>Result (mg/L)</w:t>
            </w:r>
          </w:p>
        </w:tc>
        <w:tc>
          <w:tcPr>
            <w:tcW w:w="2790" w:type="dxa"/>
            <w:tcBorders>
              <w:top w:val="single" w:sz="12" w:space="0" w:color="auto"/>
              <w:bottom w:val="single" w:sz="12" w:space="0" w:color="auto"/>
            </w:tcBorders>
          </w:tcPr>
          <w:p w:rsidR="00EA72C1" w:rsidRPr="00C53187" w:rsidRDefault="00EA72C1" w:rsidP="00C53187">
            <w:pPr>
              <w:pStyle w:val="MSDS-TZeile"/>
              <w:ind w:left="0"/>
              <w:jc w:val="center"/>
              <w:rPr>
                <w:rFonts w:ascii="Times New Roman" w:hAnsi="Times New Roman" w:cs="Times New Roman"/>
                <w:b/>
                <w:lang w:val="en-US"/>
              </w:rPr>
            </w:pPr>
            <w:r w:rsidRPr="00C53187">
              <w:rPr>
                <w:rFonts w:ascii="Times New Roman" w:hAnsi="Times New Roman" w:cs="Times New Roman"/>
                <w:b/>
                <w:lang w:val="en-US"/>
              </w:rPr>
              <w:t>Reference</w:t>
            </w:r>
          </w:p>
        </w:tc>
      </w:tr>
      <w:tr w:rsidR="00EA72C1" w:rsidRPr="00D93C78" w:rsidTr="00F1532E">
        <w:tc>
          <w:tcPr>
            <w:tcW w:w="9510" w:type="dxa"/>
            <w:gridSpan w:val="5"/>
            <w:tcBorders>
              <w:top w:val="single" w:sz="12" w:space="0" w:color="auto"/>
              <w:bottom w:val="single" w:sz="6" w:space="0" w:color="auto"/>
            </w:tcBorders>
          </w:tcPr>
          <w:p w:rsidR="00EA72C1" w:rsidRPr="00C53187" w:rsidRDefault="00EA72C1" w:rsidP="00C53187">
            <w:pPr>
              <w:pStyle w:val="MSDS-TZeile"/>
              <w:ind w:left="0"/>
              <w:jc w:val="center"/>
              <w:rPr>
                <w:rFonts w:ascii="Times New Roman" w:hAnsi="Times New Roman" w:cs="Times New Roman"/>
                <w:i/>
                <w:lang w:val="en-US"/>
              </w:rPr>
            </w:pPr>
            <w:r w:rsidRPr="00C53187">
              <w:rPr>
                <w:rFonts w:ascii="Times New Roman" w:hAnsi="Times New Roman" w:cs="Times New Roman"/>
                <w:i/>
                <w:lang w:val="en-US"/>
              </w:rPr>
              <w:t>Fish</w:t>
            </w:r>
          </w:p>
        </w:tc>
      </w:tr>
      <w:tr w:rsidR="00EA72C1" w:rsidRPr="00D93C78" w:rsidTr="00F1532E">
        <w:tc>
          <w:tcPr>
            <w:tcW w:w="9510" w:type="dxa"/>
            <w:gridSpan w:val="5"/>
            <w:tcBorders>
              <w:top w:val="single" w:sz="6" w:space="0" w:color="auto"/>
            </w:tcBorders>
          </w:tcPr>
          <w:p w:rsidR="00EA72C1" w:rsidRPr="00C53187" w:rsidRDefault="00DA79C4" w:rsidP="00C53187">
            <w:pPr>
              <w:pStyle w:val="MSDS-TZeile"/>
              <w:ind w:left="0"/>
              <w:jc w:val="center"/>
              <w:rPr>
                <w:rFonts w:ascii="Times New Roman" w:hAnsi="Times New Roman" w:cs="Times New Roman"/>
                <w:b/>
                <w:lang w:val="en-US"/>
              </w:rPr>
            </w:pPr>
            <w:r w:rsidRPr="00C53187">
              <w:rPr>
                <w:rFonts w:ascii="Times New Roman" w:hAnsi="Times New Roman" w:cs="Times New Roman"/>
                <w:b/>
                <w:lang w:val="en-US"/>
              </w:rPr>
              <w:t>Supporting</w:t>
            </w:r>
            <w:r w:rsidR="00EA72C1" w:rsidRPr="00C53187">
              <w:rPr>
                <w:rFonts w:ascii="Times New Roman" w:hAnsi="Times New Roman" w:cs="Times New Roman"/>
                <w:b/>
                <w:lang w:val="en-US"/>
              </w:rPr>
              <w:t xml:space="preserve"> substance</w:t>
            </w:r>
          </w:p>
        </w:tc>
      </w:tr>
      <w:tr w:rsidR="006042BB" w:rsidRPr="00D93C78" w:rsidTr="00C53187">
        <w:trPr>
          <w:trHeight w:val="480"/>
        </w:trPr>
        <w:tc>
          <w:tcPr>
            <w:tcW w:w="1680" w:type="dxa"/>
            <w:vMerge w:val="restart"/>
          </w:tcPr>
          <w:p w:rsidR="006042BB" w:rsidRPr="00C53187" w:rsidRDefault="006042BB" w:rsidP="00C53187">
            <w:pPr>
              <w:pStyle w:val="MSDS-TZeile"/>
              <w:ind w:left="0"/>
              <w:jc w:val="center"/>
              <w:rPr>
                <w:rFonts w:ascii="Times New Roman" w:hAnsi="Times New Roman" w:cs="Times New Roman"/>
                <w:lang w:val="en-US"/>
              </w:rPr>
            </w:pPr>
            <w:r w:rsidRPr="00C53187">
              <w:rPr>
                <w:rFonts w:ascii="Times New Roman" w:hAnsi="Times New Roman" w:cs="Times New Roman"/>
                <w:lang w:val="en-US"/>
              </w:rPr>
              <w:t>VTMS</w:t>
            </w:r>
          </w:p>
        </w:tc>
        <w:tc>
          <w:tcPr>
            <w:tcW w:w="1620" w:type="dxa"/>
          </w:tcPr>
          <w:p w:rsidR="006042BB" w:rsidRPr="00C53187" w:rsidRDefault="006042BB" w:rsidP="00C53187">
            <w:pPr>
              <w:pStyle w:val="MSDS-TZeile"/>
              <w:ind w:left="0"/>
              <w:jc w:val="center"/>
              <w:rPr>
                <w:rFonts w:ascii="Times New Roman" w:hAnsi="Times New Roman" w:cs="Times New Roman"/>
                <w:lang w:val="en-US"/>
              </w:rPr>
            </w:pPr>
            <w:r w:rsidRPr="00C53187">
              <w:rPr>
                <w:rFonts w:ascii="Times New Roman" w:hAnsi="Times New Roman" w:cs="Times New Roman"/>
              </w:rPr>
              <w:t>OECD TG 203; static</w:t>
            </w:r>
          </w:p>
        </w:tc>
        <w:tc>
          <w:tcPr>
            <w:tcW w:w="1980" w:type="dxa"/>
          </w:tcPr>
          <w:p w:rsidR="006042BB" w:rsidRPr="00C53187" w:rsidRDefault="006042BB" w:rsidP="00C53187">
            <w:pPr>
              <w:pStyle w:val="MSDS-TZeile"/>
              <w:ind w:left="0"/>
              <w:jc w:val="center"/>
              <w:rPr>
                <w:rFonts w:ascii="Times New Roman" w:hAnsi="Times New Roman" w:cs="Times New Roman"/>
                <w:i/>
              </w:rPr>
            </w:pPr>
            <w:r w:rsidRPr="00C53187">
              <w:rPr>
                <w:rFonts w:ascii="Times New Roman" w:hAnsi="Times New Roman" w:cs="Times New Roman"/>
                <w:i/>
              </w:rPr>
              <w:t>Brachydanio rerio</w:t>
            </w:r>
          </w:p>
        </w:tc>
        <w:tc>
          <w:tcPr>
            <w:tcW w:w="1440" w:type="dxa"/>
          </w:tcPr>
          <w:p w:rsidR="006042BB" w:rsidRPr="00C53187" w:rsidRDefault="006042BB" w:rsidP="00C53187">
            <w:pPr>
              <w:pStyle w:val="ESRText"/>
              <w:jc w:val="center"/>
              <w:rPr>
                <w:sz w:val="20"/>
              </w:rPr>
            </w:pPr>
            <w:r w:rsidRPr="00C53187">
              <w:rPr>
                <w:sz w:val="20"/>
              </w:rPr>
              <w:t>96h LC</w:t>
            </w:r>
            <w:r w:rsidRPr="00C53187">
              <w:rPr>
                <w:sz w:val="20"/>
                <w:vertAlign w:val="subscript"/>
              </w:rPr>
              <w:t>50</w:t>
            </w:r>
            <w:r w:rsidRPr="00C53187">
              <w:rPr>
                <w:b/>
                <w:sz w:val="20"/>
                <w:vertAlign w:val="subscript"/>
              </w:rPr>
              <w:t xml:space="preserve">    </w:t>
            </w:r>
            <w:r w:rsidRPr="00C53187">
              <w:rPr>
                <w:b/>
                <w:sz w:val="20"/>
              </w:rPr>
              <w:t>&gt;</w:t>
            </w:r>
            <w:r w:rsidRPr="00C53187">
              <w:rPr>
                <w:sz w:val="20"/>
              </w:rPr>
              <w:t>100 (nominal)</w:t>
            </w:r>
          </w:p>
        </w:tc>
        <w:tc>
          <w:tcPr>
            <w:tcW w:w="2790" w:type="dxa"/>
            <w:vMerge w:val="restart"/>
          </w:tcPr>
          <w:p w:rsidR="006042BB" w:rsidRPr="00C53187" w:rsidRDefault="00D22FE6" w:rsidP="00C53187">
            <w:pPr>
              <w:pStyle w:val="MSDS-TZeile"/>
              <w:ind w:left="0"/>
              <w:jc w:val="center"/>
              <w:rPr>
                <w:rFonts w:ascii="Times New Roman" w:hAnsi="Times New Roman" w:cs="Times New Roman"/>
              </w:rPr>
            </w:pPr>
            <w:hyperlink r:id="rId59" w:history="1">
              <w:r w:rsidR="00C62D6F" w:rsidRPr="00C53187">
                <w:rPr>
                  <w:rStyle w:val="Hyperlink"/>
                </w:rPr>
                <w:t>http://www.oecd.org/env/hazard/data</w:t>
              </w:r>
            </w:hyperlink>
          </w:p>
        </w:tc>
      </w:tr>
      <w:tr w:rsidR="006042BB" w:rsidRPr="00D93C78" w:rsidTr="00C53187">
        <w:trPr>
          <w:trHeight w:val="480"/>
        </w:trPr>
        <w:tc>
          <w:tcPr>
            <w:tcW w:w="1680" w:type="dxa"/>
            <w:vMerge/>
          </w:tcPr>
          <w:p w:rsidR="006042BB" w:rsidRPr="00C53187" w:rsidRDefault="006042BB" w:rsidP="00C53187">
            <w:pPr>
              <w:pStyle w:val="MSDS-TZeile"/>
              <w:ind w:left="0"/>
              <w:jc w:val="center"/>
              <w:rPr>
                <w:rFonts w:ascii="Times New Roman" w:hAnsi="Times New Roman" w:cs="Times New Roman"/>
                <w:lang w:val="en-US"/>
              </w:rPr>
            </w:pPr>
          </w:p>
        </w:tc>
        <w:tc>
          <w:tcPr>
            <w:tcW w:w="1620" w:type="dxa"/>
          </w:tcPr>
          <w:p w:rsidR="006042BB" w:rsidRPr="00C53187" w:rsidRDefault="006042BB" w:rsidP="00C53187">
            <w:pPr>
              <w:pStyle w:val="MSDS-TZeile"/>
              <w:ind w:left="0"/>
              <w:jc w:val="center"/>
              <w:rPr>
                <w:rFonts w:ascii="Times New Roman" w:hAnsi="Times New Roman" w:cs="Times New Roman"/>
              </w:rPr>
            </w:pPr>
            <w:r w:rsidRPr="00C53187">
              <w:rPr>
                <w:rFonts w:ascii="Times New Roman" w:hAnsi="Times New Roman" w:cs="Times New Roman"/>
              </w:rPr>
              <w:t>Directive 92/69/EEC, C.1; semi-static</w:t>
            </w:r>
          </w:p>
        </w:tc>
        <w:tc>
          <w:tcPr>
            <w:tcW w:w="1980" w:type="dxa"/>
          </w:tcPr>
          <w:p w:rsidR="006042BB" w:rsidRPr="00C53187" w:rsidRDefault="006042BB" w:rsidP="00C53187">
            <w:pPr>
              <w:pStyle w:val="MSDS-TZeile"/>
              <w:ind w:left="0"/>
              <w:jc w:val="center"/>
              <w:rPr>
                <w:rFonts w:ascii="Times New Roman" w:hAnsi="Times New Roman" w:cs="Times New Roman"/>
                <w:i/>
              </w:rPr>
            </w:pPr>
            <w:r w:rsidRPr="00C53187">
              <w:rPr>
                <w:rFonts w:ascii="Times New Roman" w:hAnsi="Times New Roman" w:cs="Times New Roman"/>
                <w:i/>
              </w:rPr>
              <w:t>Brachydanio rerio</w:t>
            </w:r>
          </w:p>
        </w:tc>
        <w:tc>
          <w:tcPr>
            <w:tcW w:w="1440" w:type="dxa"/>
          </w:tcPr>
          <w:p w:rsidR="006042BB" w:rsidRPr="00C53187" w:rsidRDefault="006042BB" w:rsidP="00C53187">
            <w:pPr>
              <w:pStyle w:val="ESRText"/>
              <w:jc w:val="center"/>
              <w:rPr>
                <w:sz w:val="20"/>
              </w:rPr>
            </w:pPr>
            <w:r w:rsidRPr="00C53187">
              <w:rPr>
                <w:sz w:val="20"/>
              </w:rPr>
              <w:t>96h LC</w:t>
            </w:r>
            <w:r w:rsidRPr="00C53187">
              <w:rPr>
                <w:sz w:val="20"/>
                <w:vertAlign w:val="subscript"/>
              </w:rPr>
              <w:t>50</w:t>
            </w:r>
            <w:r w:rsidRPr="00C53187">
              <w:rPr>
                <w:b/>
                <w:sz w:val="20"/>
                <w:vertAlign w:val="subscript"/>
              </w:rPr>
              <w:t xml:space="preserve">    </w:t>
            </w:r>
            <w:r w:rsidRPr="00C53187">
              <w:rPr>
                <w:b/>
                <w:sz w:val="20"/>
              </w:rPr>
              <w:t>&gt;</w:t>
            </w:r>
            <w:r w:rsidRPr="00C53187">
              <w:rPr>
                <w:sz w:val="20"/>
              </w:rPr>
              <w:t>100 (nominal)</w:t>
            </w:r>
          </w:p>
        </w:tc>
        <w:tc>
          <w:tcPr>
            <w:tcW w:w="2790" w:type="dxa"/>
            <w:vMerge/>
          </w:tcPr>
          <w:p w:rsidR="006042BB" w:rsidRPr="00C53187" w:rsidRDefault="006042BB" w:rsidP="00C53187">
            <w:pPr>
              <w:pStyle w:val="MSDS-TZeile"/>
              <w:ind w:left="0"/>
              <w:jc w:val="center"/>
              <w:rPr>
                <w:rFonts w:ascii="Times New Roman" w:hAnsi="Times New Roman" w:cs="Times New Roman"/>
              </w:rPr>
            </w:pPr>
          </w:p>
        </w:tc>
      </w:tr>
      <w:tr w:rsidR="006042BB" w:rsidRPr="00D93C78" w:rsidTr="00C53187">
        <w:trPr>
          <w:trHeight w:val="480"/>
        </w:trPr>
        <w:tc>
          <w:tcPr>
            <w:tcW w:w="1680" w:type="dxa"/>
            <w:vMerge/>
          </w:tcPr>
          <w:p w:rsidR="006042BB" w:rsidRPr="00C53187" w:rsidRDefault="006042BB" w:rsidP="00C53187">
            <w:pPr>
              <w:pStyle w:val="MSDS-TZeile"/>
              <w:ind w:left="0"/>
              <w:jc w:val="center"/>
              <w:rPr>
                <w:rFonts w:ascii="Times New Roman" w:hAnsi="Times New Roman" w:cs="Times New Roman"/>
                <w:lang w:val="en-US"/>
              </w:rPr>
            </w:pPr>
          </w:p>
        </w:tc>
        <w:tc>
          <w:tcPr>
            <w:tcW w:w="1620" w:type="dxa"/>
          </w:tcPr>
          <w:p w:rsidR="006042BB" w:rsidRPr="00C53187" w:rsidRDefault="00E74BC8" w:rsidP="00C53187">
            <w:pPr>
              <w:pStyle w:val="MSDS-TZeile"/>
              <w:ind w:left="0"/>
              <w:jc w:val="center"/>
              <w:rPr>
                <w:rFonts w:ascii="Times New Roman" w:hAnsi="Times New Roman" w:cs="Times New Roman"/>
              </w:rPr>
            </w:pPr>
            <w:r w:rsidRPr="00C53187">
              <w:rPr>
                <w:rFonts w:ascii="Times New Roman" w:hAnsi="Times New Roman" w:cs="Times New Roman"/>
              </w:rPr>
              <w:t>OECD TG 203; not specified</w:t>
            </w:r>
          </w:p>
        </w:tc>
        <w:tc>
          <w:tcPr>
            <w:tcW w:w="1980" w:type="dxa"/>
          </w:tcPr>
          <w:p w:rsidR="006042BB" w:rsidRPr="00C53187" w:rsidRDefault="00E74BC8" w:rsidP="00C53187">
            <w:pPr>
              <w:pStyle w:val="MSDS-TZeile"/>
              <w:ind w:left="0"/>
              <w:jc w:val="center"/>
              <w:rPr>
                <w:rFonts w:ascii="Times New Roman" w:hAnsi="Times New Roman" w:cs="Times New Roman"/>
              </w:rPr>
            </w:pPr>
            <w:r w:rsidRPr="00C53187">
              <w:rPr>
                <w:rFonts w:ascii="Times New Roman" w:hAnsi="Times New Roman" w:cs="Times New Roman"/>
              </w:rPr>
              <w:t>Not specified</w:t>
            </w:r>
          </w:p>
        </w:tc>
        <w:tc>
          <w:tcPr>
            <w:tcW w:w="1440" w:type="dxa"/>
          </w:tcPr>
          <w:p w:rsidR="006042BB" w:rsidRPr="00C53187" w:rsidRDefault="00E74BC8" w:rsidP="00C53187">
            <w:pPr>
              <w:pStyle w:val="ESRText"/>
              <w:jc w:val="center"/>
              <w:rPr>
                <w:sz w:val="20"/>
              </w:rPr>
            </w:pPr>
            <w:r w:rsidRPr="00C53187">
              <w:rPr>
                <w:sz w:val="20"/>
              </w:rPr>
              <w:t>96h LC</w:t>
            </w:r>
            <w:r w:rsidRPr="00C53187">
              <w:rPr>
                <w:sz w:val="20"/>
                <w:vertAlign w:val="subscript"/>
              </w:rPr>
              <w:t>50</w:t>
            </w:r>
            <w:r w:rsidRPr="00C53187">
              <w:rPr>
                <w:b/>
                <w:sz w:val="20"/>
                <w:vertAlign w:val="subscript"/>
              </w:rPr>
              <w:t xml:space="preserve">    </w:t>
            </w:r>
            <w:r w:rsidRPr="00C53187">
              <w:rPr>
                <w:b/>
                <w:sz w:val="20"/>
              </w:rPr>
              <w:t>&gt;</w:t>
            </w:r>
            <w:r w:rsidRPr="00C53187">
              <w:rPr>
                <w:sz w:val="20"/>
              </w:rPr>
              <w:t>92 (not specified)</w:t>
            </w:r>
          </w:p>
        </w:tc>
        <w:tc>
          <w:tcPr>
            <w:tcW w:w="2790" w:type="dxa"/>
            <w:vMerge/>
          </w:tcPr>
          <w:p w:rsidR="006042BB" w:rsidRPr="00C53187" w:rsidRDefault="006042BB" w:rsidP="00C53187">
            <w:pPr>
              <w:pStyle w:val="MSDS-TZeile"/>
              <w:ind w:left="0"/>
              <w:jc w:val="center"/>
              <w:rPr>
                <w:rFonts w:ascii="Times New Roman" w:hAnsi="Times New Roman" w:cs="Times New Roman"/>
              </w:rPr>
            </w:pPr>
          </w:p>
        </w:tc>
      </w:tr>
      <w:tr w:rsidR="006042BB" w:rsidRPr="00D93C78" w:rsidTr="00C53187">
        <w:trPr>
          <w:trHeight w:val="480"/>
        </w:trPr>
        <w:tc>
          <w:tcPr>
            <w:tcW w:w="1680" w:type="dxa"/>
          </w:tcPr>
          <w:p w:rsidR="006042BB" w:rsidRPr="00C53187" w:rsidRDefault="006042BB" w:rsidP="00C53187">
            <w:pPr>
              <w:jc w:val="center"/>
              <w:rPr>
                <w:sz w:val="20"/>
                <w:szCs w:val="20"/>
              </w:rPr>
            </w:pPr>
            <w:r w:rsidRPr="00C53187">
              <w:rPr>
                <w:sz w:val="20"/>
                <w:szCs w:val="20"/>
              </w:rPr>
              <w:t>DMSD</w:t>
            </w:r>
          </w:p>
        </w:tc>
        <w:tc>
          <w:tcPr>
            <w:tcW w:w="1620" w:type="dxa"/>
          </w:tcPr>
          <w:p w:rsidR="006042BB" w:rsidRPr="00C53187" w:rsidRDefault="006042BB" w:rsidP="00C53187">
            <w:pPr>
              <w:pStyle w:val="MSDS-TZeile"/>
              <w:ind w:left="0"/>
              <w:jc w:val="center"/>
              <w:rPr>
                <w:rFonts w:ascii="Times New Roman" w:hAnsi="Times New Roman" w:cs="Times New Roman"/>
                <w:lang w:val="en-US"/>
              </w:rPr>
            </w:pPr>
            <w:r w:rsidRPr="00C53187">
              <w:rPr>
                <w:rFonts w:ascii="Times New Roman" w:hAnsi="Times New Roman" w:cs="Times New Roman"/>
              </w:rPr>
              <w:t>OECD TG 203; static</w:t>
            </w:r>
          </w:p>
        </w:tc>
        <w:tc>
          <w:tcPr>
            <w:tcW w:w="1980" w:type="dxa"/>
          </w:tcPr>
          <w:p w:rsidR="006042BB" w:rsidRPr="00C53187" w:rsidRDefault="006042BB" w:rsidP="00C53187">
            <w:pPr>
              <w:pStyle w:val="MSDS-TZeile"/>
              <w:ind w:left="0"/>
              <w:jc w:val="center"/>
              <w:rPr>
                <w:rFonts w:ascii="Times New Roman" w:hAnsi="Times New Roman" w:cs="Times New Roman"/>
                <w:i/>
              </w:rPr>
            </w:pPr>
            <w:r w:rsidRPr="00C53187">
              <w:rPr>
                <w:rFonts w:ascii="Times New Roman" w:hAnsi="Times New Roman" w:cs="Times New Roman"/>
              </w:rPr>
              <w:t>Rainbow trout</w:t>
            </w:r>
            <w:r w:rsidRPr="00C53187">
              <w:rPr>
                <w:rFonts w:ascii="Times New Roman" w:hAnsi="Times New Roman" w:cs="Times New Roman"/>
                <w:i/>
              </w:rPr>
              <w:t xml:space="preserve"> (Oncorhynchus mykiss)</w:t>
            </w:r>
          </w:p>
        </w:tc>
        <w:tc>
          <w:tcPr>
            <w:tcW w:w="1440" w:type="dxa"/>
          </w:tcPr>
          <w:p w:rsidR="006042BB" w:rsidRPr="00C53187" w:rsidRDefault="006042BB" w:rsidP="00C53187">
            <w:pPr>
              <w:pStyle w:val="ESRText"/>
              <w:jc w:val="center"/>
              <w:rPr>
                <w:sz w:val="20"/>
              </w:rPr>
            </w:pPr>
            <w:r w:rsidRPr="00C53187">
              <w:rPr>
                <w:sz w:val="20"/>
              </w:rPr>
              <w:t>96h LC</w:t>
            </w:r>
            <w:r w:rsidRPr="00C53187">
              <w:rPr>
                <w:sz w:val="20"/>
                <w:vertAlign w:val="subscript"/>
              </w:rPr>
              <w:t>50</w:t>
            </w:r>
            <w:r w:rsidRPr="00C53187">
              <w:rPr>
                <w:b/>
                <w:sz w:val="20"/>
                <w:vertAlign w:val="subscript"/>
              </w:rPr>
              <w:t xml:space="preserve">   </w:t>
            </w:r>
            <w:r w:rsidR="00B00C1A" w:rsidRPr="00C53187">
              <w:rPr>
                <w:b/>
                <w:sz w:val="20"/>
              </w:rPr>
              <w:t>&gt;</w:t>
            </w:r>
            <w:r w:rsidR="00DC36AC" w:rsidRPr="00C53187">
              <w:rPr>
                <w:b/>
                <w:sz w:val="20"/>
              </w:rPr>
              <w:t xml:space="preserve"> </w:t>
            </w:r>
            <w:r w:rsidRPr="00C53187">
              <w:rPr>
                <w:sz w:val="20"/>
              </w:rPr>
              <w:t>120 (measured)</w:t>
            </w:r>
          </w:p>
        </w:tc>
        <w:tc>
          <w:tcPr>
            <w:tcW w:w="2790" w:type="dxa"/>
          </w:tcPr>
          <w:p w:rsidR="006042BB" w:rsidRPr="00C53187" w:rsidRDefault="006042BB" w:rsidP="00C53187">
            <w:pPr>
              <w:pStyle w:val="MSDS-TZeile"/>
              <w:ind w:left="0"/>
              <w:jc w:val="center"/>
              <w:rPr>
                <w:rFonts w:ascii="Times New Roman" w:hAnsi="Times New Roman" w:cs="Times New Roman"/>
              </w:rPr>
            </w:pPr>
            <w:r w:rsidRPr="00C53187">
              <w:rPr>
                <w:rFonts w:ascii="Times New Roman" w:hAnsi="Times New Roman" w:cs="Times New Roman"/>
              </w:rPr>
              <w:t>Drottar and Miller, 2009a</w:t>
            </w:r>
          </w:p>
        </w:tc>
      </w:tr>
      <w:tr w:rsidR="006042BB" w:rsidRPr="00D93C78" w:rsidTr="00C53187">
        <w:trPr>
          <w:trHeight w:val="381"/>
        </w:trPr>
        <w:tc>
          <w:tcPr>
            <w:tcW w:w="9510" w:type="dxa"/>
            <w:gridSpan w:val="5"/>
          </w:tcPr>
          <w:p w:rsidR="006042BB" w:rsidRPr="00C53187" w:rsidRDefault="006042BB" w:rsidP="00C53187">
            <w:pPr>
              <w:pStyle w:val="MSDS-TZeile"/>
              <w:ind w:left="0"/>
              <w:jc w:val="center"/>
              <w:rPr>
                <w:rFonts w:ascii="Times New Roman" w:hAnsi="Times New Roman" w:cs="Times New Roman"/>
                <w:b/>
              </w:rPr>
            </w:pPr>
            <w:r w:rsidRPr="00C53187">
              <w:rPr>
                <w:rFonts w:ascii="Times New Roman" w:hAnsi="Times New Roman" w:cs="Times New Roman"/>
                <w:b/>
                <w:lang w:val="en-GB"/>
              </w:rPr>
              <w:t>Hydrolysis product</w:t>
            </w:r>
          </w:p>
        </w:tc>
      </w:tr>
      <w:tr w:rsidR="006042BB" w:rsidRPr="00D93C78" w:rsidTr="00F1532E">
        <w:trPr>
          <w:trHeight w:val="705"/>
        </w:trPr>
        <w:tc>
          <w:tcPr>
            <w:tcW w:w="1680" w:type="dxa"/>
            <w:tcBorders>
              <w:bottom w:val="single" w:sz="6" w:space="0" w:color="auto"/>
            </w:tcBorders>
          </w:tcPr>
          <w:p w:rsidR="006042BB" w:rsidRPr="00C53187" w:rsidRDefault="006042BB" w:rsidP="00C53187">
            <w:pPr>
              <w:jc w:val="center"/>
              <w:rPr>
                <w:sz w:val="20"/>
                <w:szCs w:val="20"/>
              </w:rPr>
            </w:pPr>
            <w:r w:rsidRPr="00C53187">
              <w:rPr>
                <w:sz w:val="20"/>
                <w:szCs w:val="20"/>
              </w:rPr>
              <w:t>HCl</w:t>
            </w:r>
          </w:p>
        </w:tc>
        <w:tc>
          <w:tcPr>
            <w:tcW w:w="1620" w:type="dxa"/>
            <w:tcBorders>
              <w:bottom w:val="single" w:sz="6" w:space="0" w:color="auto"/>
            </w:tcBorders>
          </w:tcPr>
          <w:p w:rsidR="006042BB" w:rsidRPr="00C53187" w:rsidRDefault="006042BB" w:rsidP="00C53187">
            <w:pPr>
              <w:jc w:val="center"/>
              <w:rPr>
                <w:sz w:val="20"/>
                <w:szCs w:val="20"/>
              </w:rPr>
            </w:pPr>
            <w:r w:rsidRPr="00C53187">
              <w:rPr>
                <w:sz w:val="20"/>
                <w:szCs w:val="20"/>
              </w:rPr>
              <w:t>OECD TG 203; semi-static</w:t>
            </w:r>
          </w:p>
        </w:tc>
        <w:tc>
          <w:tcPr>
            <w:tcW w:w="1980" w:type="dxa"/>
            <w:tcBorders>
              <w:bottom w:val="single" w:sz="6" w:space="0" w:color="auto"/>
            </w:tcBorders>
          </w:tcPr>
          <w:p w:rsidR="006042BB" w:rsidRPr="00C53187" w:rsidRDefault="00DC36AC" w:rsidP="00C53187">
            <w:pPr>
              <w:jc w:val="center"/>
              <w:rPr>
                <w:i/>
                <w:sz w:val="20"/>
                <w:szCs w:val="20"/>
              </w:rPr>
            </w:pPr>
            <w:r w:rsidRPr="00C53187">
              <w:rPr>
                <w:i/>
                <w:sz w:val="20"/>
                <w:szCs w:val="20"/>
              </w:rPr>
              <w:t>Cyprinus carpio</w:t>
            </w:r>
          </w:p>
        </w:tc>
        <w:tc>
          <w:tcPr>
            <w:tcW w:w="1440" w:type="dxa"/>
            <w:tcBorders>
              <w:bottom w:val="single" w:sz="6" w:space="0" w:color="auto"/>
            </w:tcBorders>
          </w:tcPr>
          <w:p w:rsidR="006042BB" w:rsidRPr="00C53187" w:rsidRDefault="006042BB" w:rsidP="00C53187">
            <w:pPr>
              <w:pStyle w:val="ESRText"/>
              <w:jc w:val="center"/>
              <w:rPr>
                <w:sz w:val="20"/>
              </w:rPr>
            </w:pPr>
            <w:r w:rsidRPr="00C53187">
              <w:rPr>
                <w:sz w:val="20"/>
              </w:rPr>
              <w:t>96h LC</w:t>
            </w:r>
            <w:r w:rsidRPr="00C53187">
              <w:rPr>
                <w:sz w:val="20"/>
                <w:vertAlign w:val="subscript"/>
              </w:rPr>
              <w:t>50</w:t>
            </w:r>
            <w:r w:rsidRPr="00C53187">
              <w:rPr>
                <w:b/>
                <w:sz w:val="20"/>
                <w:vertAlign w:val="subscript"/>
              </w:rPr>
              <w:t xml:space="preserve">  </w:t>
            </w:r>
            <w:r w:rsidRPr="00C53187">
              <w:rPr>
                <w:b/>
                <w:sz w:val="20"/>
              </w:rPr>
              <w:t>=</w:t>
            </w:r>
            <w:r w:rsidRPr="00C53187">
              <w:rPr>
                <w:b/>
                <w:sz w:val="20"/>
                <w:vertAlign w:val="subscript"/>
              </w:rPr>
              <w:t xml:space="preserve"> </w:t>
            </w:r>
            <w:r w:rsidR="0098767D" w:rsidRPr="00C53187">
              <w:rPr>
                <w:sz w:val="20"/>
              </w:rPr>
              <w:t xml:space="preserve">4.92 mg/L </w:t>
            </w:r>
            <w:r w:rsidRPr="00C53187">
              <w:rPr>
                <w:color w:val="000000"/>
                <w:sz w:val="20"/>
              </w:rPr>
              <w:t xml:space="preserve"> (</w:t>
            </w:r>
            <w:r w:rsidR="0098767D" w:rsidRPr="00C53187">
              <w:rPr>
                <w:color w:val="000000"/>
                <w:sz w:val="20"/>
              </w:rPr>
              <w:t>pH 4.3</w:t>
            </w:r>
            <w:r w:rsidR="00DC36AC" w:rsidRPr="00C53187">
              <w:rPr>
                <w:color w:val="000000"/>
                <w:sz w:val="20"/>
              </w:rPr>
              <w:t>, measured</w:t>
            </w:r>
            <w:r w:rsidRPr="00C53187">
              <w:rPr>
                <w:color w:val="000000"/>
                <w:sz w:val="20"/>
              </w:rPr>
              <w:t>)</w:t>
            </w:r>
          </w:p>
        </w:tc>
        <w:tc>
          <w:tcPr>
            <w:tcW w:w="2790" w:type="dxa"/>
            <w:tcBorders>
              <w:bottom w:val="single" w:sz="6" w:space="0" w:color="auto"/>
            </w:tcBorders>
          </w:tcPr>
          <w:p w:rsidR="006042BB" w:rsidRPr="00C53187" w:rsidRDefault="00D22FE6" w:rsidP="00C53187">
            <w:pPr>
              <w:pStyle w:val="MSDS-TZeile"/>
              <w:ind w:left="0"/>
              <w:jc w:val="center"/>
              <w:rPr>
                <w:rFonts w:ascii="Times New Roman" w:hAnsi="Times New Roman" w:cs="Times New Roman"/>
                <w:lang w:val="en-US"/>
              </w:rPr>
            </w:pPr>
            <w:hyperlink r:id="rId60" w:history="1">
              <w:r w:rsidR="00C62D6F" w:rsidRPr="00C53187">
                <w:rPr>
                  <w:rStyle w:val="Hyperlink"/>
                </w:rPr>
                <w:t>http://www.oecd.org/env/hazard/data</w:t>
              </w:r>
            </w:hyperlink>
          </w:p>
        </w:tc>
      </w:tr>
      <w:tr w:rsidR="006042BB" w:rsidRPr="00D93C78" w:rsidTr="00F1532E">
        <w:trPr>
          <w:trHeight w:val="327"/>
        </w:trPr>
        <w:tc>
          <w:tcPr>
            <w:tcW w:w="9510" w:type="dxa"/>
            <w:gridSpan w:val="5"/>
            <w:tcBorders>
              <w:top w:val="single" w:sz="6" w:space="0" w:color="auto"/>
              <w:bottom w:val="single" w:sz="6" w:space="0" w:color="auto"/>
            </w:tcBorders>
          </w:tcPr>
          <w:p w:rsidR="006042BB" w:rsidRPr="00C53187" w:rsidRDefault="006042BB" w:rsidP="00C53187">
            <w:pPr>
              <w:pStyle w:val="MSDS-TZeile"/>
              <w:ind w:left="0"/>
              <w:jc w:val="center"/>
              <w:rPr>
                <w:rFonts w:ascii="Times New Roman" w:hAnsi="Times New Roman" w:cs="Times New Roman"/>
                <w:lang w:val="en-US"/>
              </w:rPr>
            </w:pPr>
            <w:r w:rsidRPr="00C53187">
              <w:rPr>
                <w:rFonts w:ascii="Times New Roman" w:hAnsi="Times New Roman" w:cs="Times New Roman"/>
                <w:i/>
                <w:lang w:val="en-US"/>
              </w:rPr>
              <w:t>Aquatic invertebrates</w:t>
            </w:r>
          </w:p>
        </w:tc>
      </w:tr>
      <w:tr w:rsidR="00E74BC8" w:rsidRPr="00D93C78" w:rsidTr="00F1532E">
        <w:trPr>
          <w:trHeight w:val="480"/>
        </w:trPr>
        <w:tc>
          <w:tcPr>
            <w:tcW w:w="9510" w:type="dxa"/>
            <w:gridSpan w:val="5"/>
            <w:tcBorders>
              <w:top w:val="single" w:sz="6" w:space="0" w:color="auto"/>
            </w:tcBorders>
          </w:tcPr>
          <w:p w:rsidR="00E74BC8" w:rsidRPr="00C53187" w:rsidRDefault="00E74BC8" w:rsidP="00C53187">
            <w:pPr>
              <w:jc w:val="center"/>
              <w:rPr>
                <w:sz w:val="20"/>
                <w:szCs w:val="20"/>
              </w:rPr>
            </w:pPr>
            <w:r w:rsidRPr="00C53187">
              <w:rPr>
                <w:b/>
                <w:sz w:val="20"/>
                <w:szCs w:val="20"/>
              </w:rPr>
              <w:t>Supporting substance</w:t>
            </w:r>
          </w:p>
        </w:tc>
      </w:tr>
      <w:tr w:rsidR="00E74BC8" w:rsidRPr="00D93C78" w:rsidTr="00C53187">
        <w:trPr>
          <w:trHeight w:val="480"/>
        </w:trPr>
        <w:tc>
          <w:tcPr>
            <w:tcW w:w="1680" w:type="dxa"/>
            <w:vMerge w:val="restart"/>
          </w:tcPr>
          <w:p w:rsidR="00E74BC8" w:rsidRPr="00C53187" w:rsidRDefault="00E74BC8" w:rsidP="00C53187">
            <w:pPr>
              <w:pStyle w:val="MSDS-TZeile"/>
              <w:ind w:left="0"/>
              <w:jc w:val="center"/>
              <w:rPr>
                <w:rFonts w:ascii="Times New Roman" w:hAnsi="Times New Roman" w:cs="Times New Roman"/>
                <w:lang w:val="en-US"/>
              </w:rPr>
            </w:pPr>
            <w:r w:rsidRPr="00C53187">
              <w:rPr>
                <w:rFonts w:ascii="Times New Roman" w:hAnsi="Times New Roman" w:cs="Times New Roman"/>
                <w:lang w:val="en-US"/>
              </w:rPr>
              <w:t>VTMS</w:t>
            </w:r>
          </w:p>
        </w:tc>
        <w:tc>
          <w:tcPr>
            <w:tcW w:w="1620" w:type="dxa"/>
          </w:tcPr>
          <w:p w:rsidR="00E74BC8" w:rsidRPr="00C53187" w:rsidRDefault="00E74BC8" w:rsidP="00C53187">
            <w:pPr>
              <w:pStyle w:val="MSDS-TZeile"/>
              <w:ind w:left="0"/>
              <w:jc w:val="center"/>
              <w:rPr>
                <w:rFonts w:ascii="Times New Roman" w:hAnsi="Times New Roman" w:cs="Times New Roman"/>
                <w:lang w:val="en-US"/>
              </w:rPr>
            </w:pPr>
            <w:r w:rsidRPr="00C53187">
              <w:rPr>
                <w:rFonts w:ascii="Times New Roman" w:hAnsi="Times New Roman" w:cs="Times New Roman"/>
              </w:rPr>
              <w:t>Directive 84/449/EEC, C.2; static</w:t>
            </w:r>
          </w:p>
        </w:tc>
        <w:tc>
          <w:tcPr>
            <w:tcW w:w="1980" w:type="dxa"/>
          </w:tcPr>
          <w:p w:rsidR="00E74BC8" w:rsidRPr="00C53187" w:rsidRDefault="00E74BC8" w:rsidP="00C53187">
            <w:pPr>
              <w:pStyle w:val="MSDS-TZeile"/>
              <w:ind w:left="0"/>
              <w:jc w:val="center"/>
              <w:rPr>
                <w:rFonts w:ascii="Times New Roman" w:hAnsi="Times New Roman" w:cs="Times New Roman"/>
                <w:i/>
              </w:rPr>
            </w:pPr>
            <w:r w:rsidRPr="00C53187">
              <w:rPr>
                <w:rFonts w:ascii="Times New Roman" w:hAnsi="Times New Roman" w:cs="Times New Roman"/>
                <w:i/>
              </w:rPr>
              <w:t>Daphnia magna</w:t>
            </w:r>
          </w:p>
        </w:tc>
        <w:tc>
          <w:tcPr>
            <w:tcW w:w="1440" w:type="dxa"/>
          </w:tcPr>
          <w:p w:rsidR="00E74BC8" w:rsidRPr="00C53187" w:rsidRDefault="00E74BC8" w:rsidP="00C53187">
            <w:pPr>
              <w:jc w:val="center"/>
              <w:rPr>
                <w:sz w:val="20"/>
                <w:szCs w:val="20"/>
              </w:rPr>
            </w:pPr>
            <w:r w:rsidRPr="00C53187">
              <w:rPr>
                <w:sz w:val="20"/>
                <w:szCs w:val="20"/>
              </w:rPr>
              <w:t>48h EC</w:t>
            </w:r>
            <w:r w:rsidRPr="00C53187">
              <w:rPr>
                <w:sz w:val="20"/>
                <w:szCs w:val="20"/>
                <w:vertAlign w:val="subscript"/>
              </w:rPr>
              <w:t xml:space="preserve">50 </w:t>
            </w:r>
            <w:r w:rsidRPr="00C53187">
              <w:rPr>
                <w:sz w:val="20"/>
                <w:szCs w:val="20"/>
              </w:rPr>
              <w:t>= 168.7 (nominal)</w:t>
            </w:r>
          </w:p>
        </w:tc>
        <w:tc>
          <w:tcPr>
            <w:tcW w:w="2790" w:type="dxa"/>
            <w:vMerge w:val="restart"/>
          </w:tcPr>
          <w:p w:rsidR="00E74BC8" w:rsidRPr="00C53187" w:rsidRDefault="00D22FE6" w:rsidP="00C53187">
            <w:pPr>
              <w:pStyle w:val="MSDS-TZeile"/>
              <w:ind w:left="0"/>
              <w:jc w:val="center"/>
              <w:rPr>
                <w:rFonts w:ascii="Times New Roman" w:hAnsi="Times New Roman" w:cs="Times New Roman"/>
              </w:rPr>
            </w:pPr>
            <w:hyperlink r:id="rId61" w:history="1">
              <w:r w:rsidR="00C62D6F" w:rsidRPr="00C53187">
                <w:rPr>
                  <w:rStyle w:val="Hyperlink"/>
                </w:rPr>
                <w:t>http://www.oecd.org/env/hazard/data</w:t>
              </w:r>
            </w:hyperlink>
          </w:p>
        </w:tc>
      </w:tr>
      <w:tr w:rsidR="00E74BC8" w:rsidRPr="00D93C78" w:rsidTr="00C53187">
        <w:trPr>
          <w:trHeight w:val="480"/>
        </w:trPr>
        <w:tc>
          <w:tcPr>
            <w:tcW w:w="1680" w:type="dxa"/>
            <w:vMerge/>
          </w:tcPr>
          <w:p w:rsidR="00E74BC8" w:rsidRPr="00C53187" w:rsidRDefault="00E74BC8" w:rsidP="00C53187">
            <w:pPr>
              <w:pStyle w:val="MSDS-TZeile"/>
              <w:ind w:left="0"/>
              <w:jc w:val="center"/>
              <w:rPr>
                <w:rFonts w:ascii="Times New Roman" w:hAnsi="Times New Roman" w:cs="Times New Roman"/>
                <w:lang w:val="en-US"/>
              </w:rPr>
            </w:pPr>
          </w:p>
        </w:tc>
        <w:tc>
          <w:tcPr>
            <w:tcW w:w="1620" w:type="dxa"/>
          </w:tcPr>
          <w:p w:rsidR="00E74BC8" w:rsidRPr="00C53187" w:rsidRDefault="00E74BC8" w:rsidP="00C53187">
            <w:pPr>
              <w:pStyle w:val="MSDS-TZeile"/>
              <w:ind w:left="0"/>
              <w:jc w:val="center"/>
              <w:rPr>
                <w:rFonts w:ascii="Times New Roman" w:hAnsi="Times New Roman" w:cs="Times New Roman"/>
                <w:lang w:val="en-US"/>
              </w:rPr>
            </w:pPr>
            <w:r w:rsidRPr="00C53187">
              <w:rPr>
                <w:rFonts w:ascii="Times New Roman" w:hAnsi="Times New Roman" w:cs="Times New Roman"/>
              </w:rPr>
              <w:t>OECD TG 202; static</w:t>
            </w:r>
          </w:p>
        </w:tc>
        <w:tc>
          <w:tcPr>
            <w:tcW w:w="1980" w:type="dxa"/>
          </w:tcPr>
          <w:p w:rsidR="00E74BC8" w:rsidRPr="00C53187" w:rsidRDefault="00E74BC8" w:rsidP="00C53187">
            <w:pPr>
              <w:pStyle w:val="MSDS-TZeile"/>
              <w:ind w:left="0"/>
              <w:jc w:val="center"/>
              <w:rPr>
                <w:rFonts w:ascii="Times New Roman" w:hAnsi="Times New Roman" w:cs="Times New Roman"/>
                <w:i/>
              </w:rPr>
            </w:pPr>
            <w:r w:rsidRPr="00C53187">
              <w:rPr>
                <w:rFonts w:ascii="Times New Roman" w:hAnsi="Times New Roman" w:cs="Times New Roman"/>
                <w:i/>
              </w:rPr>
              <w:t>Daphnia magna</w:t>
            </w:r>
          </w:p>
        </w:tc>
        <w:tc>
          <w:tcPr>
            <w:tcW w:w="1440" w:type="dxa"/>
          </w:tcPr>
          <w:p w:rsidR="00E74BC8" w:rsidRPr="00C53187" w:rsidRDefault="00E74BC8" w:rsidP="00C53187">
            <w:pPr>
              <w:jc w:val="center"/>
              <w:rPr>
                <w:sz w:val="20"/>
                <w:szCs w:val="20"/>
              </w:rPr>
            </w:pPr>
            <w:r w:rsidRPr="00C53187">
              <w:rPr>
                <w:sz w:val="20"/>
                <w:szCs w:val="20"/>
              </w:rPr>
              <w:t>48h EC</w:t>
            </w:r>
            <w:r w:rsidRPr="00C53187">
              <w:rPr>
                <w:sz w:val="20"/>
                <w:szCs w:val="20"/>
                <w:vertAlign w:val="subscript"/>
              </w:rPr>
              <w:t xml:space="preserve">50 </w:t>
            </w:r>
            <w:r w:rsidRPr="00C53187">
              <w:rPr>
                <w:sz w:val="20"/>
                <w:szCs w:val="20"/>
              </w:rPr>
              <w:t>&gt; 100 (measured)</w:t>
            </w:r>
          </w:p>
        </w:tc>
        <w:tc>
          <w:tcPr>
            <w:tcW w:w="2790" w:type="dxa"/>
            <w:vMerge/>
          </w:tcPr>
          <w:p w:rsidR="00E74BC8" w:rsidRPr="00C53187" w:rsidRDefault="00E74BC8" w:rsidP="00C53187">
            <w:pPr>
              <w:jc w:val="center"/>
              <w:rPr>
                <w:sz w:val="20"/>
                <w:szCs w:val="20"/>
              </w:rPr>
            </w:pPr>
          </w:p>
        </w:tc>
      </w:tr>
      <w:tr w:rsidR="00E74BC8" w:rsidRPr="00D93C78" w:rsidTr="00C53187">
        <w:trPr>
          <w:trHeight w:val="480"/>
        </w:trPr>
        <w:tc>
          <w:tcPr>
            <w:tcW w:w="1680" w:type="dxa"/>
            <w:vMerge/>
          </w:tcPr>
          <w:p w:rsidR="00E74BC8" w:rsidRPr="00C53187" w:rsidRDefault="00E74BC8" w:rsidP="00C53187">
            <w:pPr>
              <w:pStyle w:val="MSDS-TZeile"/>
              <w:ind w:left="0"/>
              <w:jc w:val="center"/>
              <w:rPr>
                <w:rFonts w:ascii="Times New Roman" w:hAnsi="Times New Roman" w:cs="Times New Roman"/>
                <w:lang w:val="en-US"/>
              </w:rPr>
            </w:pPr>
          </w:p>
        </w:tc>
        <w:tc>
          <w:tcPr>
            <w:tcW w:w="1620" w:type="dxa"/>
          </w:tcPr>
          <w:p w:rsidR="00E74BC8" w:rsidRPr="00C53187" w:rsidRDefault="00E74BC8" w:rsidP="00C53187">
            <w:pPr>
              <w:pStyle w:val="MSDS-TZeile"/>
              <w:ind w:left="0"/>
              <w:jc w:val="center"/>
              <w:rPr>
                <w:rFonts w:ascii="Times New Roman" w:hAnsi="Times New Roman" w:cs="Times New Roman"/>
                <w:lang w:val="en-US"/>
              </w:rPr>
            </w:pPr>
            <w:r w:rsidRPr="00C53187">
              <w:rPr>
                <w:rFonts w:ascii="Times New Roman" w:hAnsi="Times New Roman" w:cs="Times New Roman"/>
              </w:rPr>
              <w:t>OECD TG 202; not specifed</w:t>
            </w:r>
          </w:p>
        </w:tc>
        <w:tc>
          <w:tcPr>
            <w:tcW w:w="1980" w:type="dxa"/>
          </w:tcPr>
          <w:p w:rsidR="00E74BC8" w:rsidRPr="00C53187" w:rsidRDefault="00E74BC8" w:rsidP="00C53187">
            <w:pPr>
              <w:pStyle w:val="MSDS-TZeile"/>
              <w:ind w:left="0"/>
              <w:jc w:val="center"/>
              <w:rPr>
                <w:rFonts w:ascii="Times New Roman" w:hAnsi="Times New Roman" w:cs="Times New Roman"/>
                <w:i/>
              </w:rPr>
            </w:pPr>
            <w:r w:rsidRPr="00C53187">
              <w:rPr>
                <w:rFonts w:ascii="Times New Roman" w:hAnsi="Times New Roman" w:cs="Times New Roman"/>
                <w:i/>
              </w:rPr>
              <w:t>Daphnia magna</w:t>
            </w:r>
          </w:p>
        </w:tc>
        <w:tc>
          <w:tcPr>
            <w:tcW w:w="1440" w:type="dxa"/>
          </w:tcPr>
          <w:p w:rsidR="00E74BC8" w:rsidRPr="00C53187" w:rsidRDefault="00E74BC8" w:rsidP="00C53187">
            <w:pPr>
              <w:jc w:val="center"/>
              <w:rPr>
                <w:sz w:val="20"/>
                <w:szCs w:val="20"/>
              </w:rPr>
            </w:pPr>
            <w:r w:rsidRPr="00C53187">
              <w:rPr>
                <w:sz w:val="20"/>
                <w:szCs w:val="20"/>
              </w:rPr>
              <w:t>48h EC</w:t>
            </w:r>
            <w:r w:rsidRPr="00C53187">
              <w:rPr>
                <w:sz w:val="20"/>
                <w:szCs w:val="20"/>
                <w:vertAlign w:val="subscript"/>
              </w:rPr>
              <w:t xml:space="preserve">50 </w:t>
            </w:r>
            <w:r w:rsidRPr="00C53187">
              <w:rPr>
                <w:sz w:val="20"/>
                <w:szCs w:val="20"/>
              </w:rPr>
              <w:t>&gt; 100 (not specified)</w:t>
            </w:r>
          </w:p>
        </w:tc>
        <w:tc>
          <w:tcPr>
            <w:tcW w:w="2790" w:type="dxa"/>
            <w:vMerge/>
          </w:tcPr>
          <w:p w:rsidR="00E74BC8" w:rsidRPr="00C53187" w:rsidRDefault="00E74BC8" w:rsidP="00C53187">
            <w:pPr>
              <w:jc w:val="center"/>
              <w:rPr>
                <w:sz w:val="20"/>
                <w:szCs w:val="20"/>
              </w:rPr>
            </w:pPr>
          </w:p>
        </w:tc>
      </w:tr>
      <w:tr w:rsidR="00E74BC8" w:rsidRPr="00D93C78" w:rsidTr="00C53187">
        <w:trPr>
          <w:trHeight w:val="480"/>
        </w:trPr>
        <w:tc>
          <w:tcPr>
            <w:tcW w:w="1680" w:type="dxa"/>
          </w:tcPr>
          <w:p w:rsidR="00E74BC8" w:rsidRPr="00C53187" w:rsidRDefault="00E74BC8" w:rsidP="00C53187">
            <w:pPr>
              <w:jc w:val="center"/>
              <w:rPr>
                <w:sz w:val="20"/>
                <w:szCs w:val="20"/>
              </w:rPr>
            </w:pPr>
            <w:r w:rsidRPr="00C53187">
              <w:rPr>
                <w:sz w:val="20"/>
                <w:szCs w:val="20"/>
              </w:rPr>
              <w:t>DMSD</w:t>
            </w:r>
          </w:p>
        </w:tc>
        <w:tc>
          <w:tcPr>
            <w:tcW w:w="1620" w:type="dxa"/>
          </w:tcPr>
          <w:p w:rsidR="00E74BC8" w:rsidRPr="00C53187" w:rsidRDefault="00E74BC8" w:rsidP="00C53187">
            <w:pPr>
              <w:pStyle w:val="MSDS-TZeile"/>
              <w:ind w:left="0"/>
              <w:jc w:val="center"/>
              <w:rPr>
                <w:rFonts w:ascii="Times New Roman" w:hAnsi="Times New Roman" w:cs="Times New Roman"/>
                <w:lang w:val="en-US"/>
              </w:rPr>
            </w:pPr>
            <w:r w:rsidRPr="00C53187">
              <w:rPr>
                <w:rFonts w:ascii="Times New Roman" w:hAnsi="Times New Roman" w:cs="Times New Roman"/>
              </w:rPr>
              <w:t>OECD TG 202; static</w:t>
            </w:r>
          </w:p>
        </w:tc>
        <w:tc>
          <w:tcPr>
            <w:tcW w:w="1980" w:type="dxa"/>
          </w:tcPr>
          <w:p w:rsidR="00E74BC8" w:rsidRPr="00C53187" w:rsidRDefault="00E74BC8" w:rsidP="00C53187">
            <w:pPr>
              <w:pStyle w:val="MSDS-TZeile"/>
              <w:ind w:left="0"/>
              <w:jc w:val="center"/>
              <w:rPr>
                <w:rFonts w:ascii="Times New Roman" w:hAnsi="Times New Roman" w:cs="Times New Roman"/>
                <w:i/>
              </w:rPr>
            </w:pPr>
            <w:r w:rsidRPr="00C53187">
              <w:rPr>
                <w:rFonts w:ascii="Times New Roman" w:hAnsi="Times New Roman" w:cs="Times New Roman"/>
                <w:i/>
              </w:rPr>
              <w:t>Daphnia magna</w:t>
            </w:r>
          </w:p>
        </w:tc>
        <w:tc>
          <w:tcPr>
            <w:tcW w:w="1440" w:type="dxa"/>
          </w:tcPr>
          <w:p w:rsidR="00E74BC8" w:rsidRPr="00C53187" w:rsidRDefault="00E74BC8" w:rsidP="00C53187">
            <w:pPr>
              <w:jc w:val="center"/>
              <w:rPr>
                <w:sz w:val="20"/>
                <w:szCs w:val="20"/>
              </w:rPr>
            </w:pPr>
            <w:r w:rsidRPr="00C53187">
              <w:rPr>
                <w:sz w:val="20"/>
                <w:szCs w:val="20"/>
              </w:rPr>
              <w:t>48h EC</w:t>
            </w:r>
            <w:r w:rsidRPr="00C53187">
              <w:rPr>
                <w:sz w:val="20"/>
                <w:szCs w:val="20"/>
                <w:vertAlign w:val="subscript"/>
              </w:rPr>
              <w:t xml:space="preserve">50 </w:t>
            </w:r>
            <w:r w:rsidRPr="00C53187">
              <w:rPr>
                <w:sz w:val="20"/>
                <w:szCs w:val="20"/>
              </w:rPr>
              <w:t>&gt; 117 (measured)</w:t>
            </w:r>
          </w:p>
        </w:tc>
        <w:tc>
          <w:tcPr>
            <w:tcW w:w="2790" w:type="dxa"/>
          </w:tcPr>
          <w:p w:rsidR="00E74BC8" w:rsidRPr="00C53187" w:rsidRDefault="00E74BC8" w:rsidP="00C53187">
            <w:pPr>
              <w:pStyle w:val="MSDS-TZeile"/>
              <w:ind w:left="0"/>
              <w:jc w:val="center"/>
              <w:rPr>
                <w:rFonts w:ascii="Times New Roman" w:hAnsi="Times New Roman" w:cs="Times New Roman"/>
              </w:rPr>
            </w:pPr>
            <w:r w:rsidRPr="00C53187">
              <w:rPr>
                <w:rFonts w:ascii="Times New Roman" w:hAnsi="Times New Roman" w:cs="Times New Roman"/>
                <w:iCs/>
              </w:rPr>
              <w:t>Drottar and Miller, 2009b</w:t>
            </w:r>
          </w:p>
        </w:tc>
      </w:tr>
      <w:tr w:rsidR="00E74BC8" w:rsidRPr="00D93C78" w:rsidTr="00C53187">
        <w:trPr>
          <w:trHeight w:val="210"/>
        </w:trPr>
        <w:tc>
          <w:tcPr>
            <w:tcW w:w="9510" w:type="dxa"/>
            <w:gridSpan w:val="5"/>
          </w:tcPr>
          <w:p w:rsidR="00E74BC8" w:rsidRPr="00C53187" w:rsidRDefault="00E74BC8" w:rsidP="00C53187">
            <w:pPr>
              <w:pStyle w:val="MSDS-TZeile"/>
              <w:ind w:left="0"/>
              <w:jc w:val="center"/>
              <w:rPr>
                <w:rFonts w:ascii="Times New Roman" w:hAnsi="Times New Roman" w:cs="Times New Roman"/>
                <w:b/>
              </w:rPr>
            </w:pPr>
            <w:r w:rsidRPr="00C53187">
              <w:rPr>
                <w:rFonts w:ascii="Times New Roman" w:hAnsi="Times New Roman" w:cs="Times New Roman"/>
                <w:b/>
                <w:lang w:val="en-GB"/>
              </w:rPr>
              <w:t>Hydrolysis product</w:t>
            </w:r>
          </w:p>
        </w:tc>
      </w:tr>
      <w:tr w:rsidR="00E74BC8" w:rsidRPr="00D93C78" w:rsidTr="00F1532E">
        <w:trPr>
          <w:trHeight w:val="705"/>
        </w:trPr>
        <w:tc>
          <w:tcPr>
            <w:tcW w:w="1680" w:type="dxa"/>
            <w:tcBorders>
              <w:bottom w:val="single" w:sz="6" w:space="0" w:color="auto"/>
            </w:tcBorders>
          </w:tcPr>
          <w:p w:rsidR="00E74BC8" w:rsidRPr="00C53187" w:rsidRDefault="00E74BC8" w:rsidP="00C53187">
            <w:pPr>
              <w:jc w:val="center"/>
              <w:rPr>
                <w:sz w:val="20"/>
                <w:szCs w:val="20"/>
              </w:rPr>
            </w:pPr>
            <w:r w:rsidRPr="00C53187">
              <w:rPr>
                <w:sz w:val="20"/>
                <w:szCs w:val="20"/>
              </w:rPr>
              <w:t>HCl</w:t>
            </w:r>
          </w:p>
        </w:tc>
        <w:tc>
          <w:tcPr>
            <w:tcW w:w="1620" w:type="dxa"/>
            <w:tcBorders>
              <w:bottom w:val="single" w:sz="6" w:space="0" w:color="auto"/>
            </w:tcBorders>
          </w:tcPr>
          <w:p w:rsidR="00E74BC8" w:rsidRPr="00C53187" w:rsidRDefault="00E74BC8" w:rsidP="00C53187">
            <w:pPr>
              <w:jc w:val="center"/>
              <w:rPr>
                <w:sz w:val="20"/>
                <w:szCs w:val="20"/>
              </w:rPr>
            </w:pPr>
            <w:r w:rsidRPr="00C53187">
              <w:rPr>
                <w:sz w:val="20"/>
                <w:szCs w:val="20"/>
              </w:rPr>
              <w:t>OECD TG 202</w:t>
            </w:r>
            <w:r w:rsidR="00DC36AC" w:rsidRPr="00C53187">
              <w:rPr>
                <w:sz w:val="20"/>
                <w:szCs w:val="20"/>
              </w:rPr>
              <w:t>; semi-static</w:t>
            </w:r>
          </w:p>
        </w:tc>
        <w:tc>
          <w:tcPr>
            <w:tcW w:w="1980" w:type="dxa"/>
            <w:tcBorders>
              <w:bottom w:val="single" w:sz="6" w:space="0" w:color="auto"/>
            </w:tcBorders>
          </w:tcPr>
          <w:p w:rsidR="00E74BC8" w:rsidRPr="00C53187" w:rsidRDefault="00E74BC8" w:rsidP="00C53187">
            <w:pPr>
              <w:jc w:val="center"/>
              <w:rPr>
                <w:i/>
                <w:sz w:val="20"/>
                <w:szCs w:val="20"/>
              </w:rPr>
            </w:pPr>
            <w:r w:rsidRPr="00C53187">
              <w:rPr>
                <w:i/>
                <w:sz w:val="20"/>
                <w:szCs w:val="20"/>
              </w:rPr>
              <w:t>Daphnia magna</w:t>
            </w:r>
          </w:p>
        </w:tc>
        <w:tc>
          <w:tcPr>
            <w:tcW w:w="1440" w:type="dxa"/>
            <w:tcBorders>
              <w:bottom w:val="single" w:sz="6" w:space="0" w:color="auto"/>
            </w:tcBorders>
          </w:tcPr>
          <w:p w:rsidR="00E74BC8" w:rsidRPr="00C53187" w:rsidRDefault="00E74BC8" w:rsidP="00C53187">
            <w:pPr>
              <w:jc w:val="center"/>
              <w:rPr>
                <w:sz w:val="20"/>
                <w:szCs w:val="20"/>
              </w:rPr>
            </w:pPr>
            <w:r w:rsidRPr="00C53187">
              <w:rPr>
                <w:sz w:val="20"/>
                <w:szCs w:val="20"/>
              </w:rPr>
              <w:t>48h EC</w:t>
            </w:r>
            <w:r w:rsidRPr="00C53187">
              <w:rPr>
                <w:sz w:val="20"/>
                <w:szCs w:val="20"/>
                <w:vertAlign w:val="subscript"/>
              </w:rPr>
              <w:t xml:space="preserve">50 </w:t>
            </w:r>
            <w:r w:rsidRPr="00C53187">
              <w:rPr>
                <w:sz w:val="20"/>
                <w:szCs w:val="20"/>
              </w:rPr>
              <w:t>=</w:t>
            </w:r>
            <w:r w:rsidRPr="00C53187">
              <w:rPr>
                <w:sz w:val="20"/>
                <w:szCs w:val="20"/>
                <w:vertAlign w:val="subscript"/>
              </w:rPr>
              <w:t xml:space="preserve"> </w:t>
            </w:r>
            <w:r w:rsidR="0098767D" w:rsidRPr="00C53187">
              <w:rPr>
                <w:sz w:val="20"/>
                <w:szCs w:val="20"/>
              </w:rPr>
              <w:t>0.492 mg/L (</w:t>
            </w:r>
            <w:r w:rsidRPr="00C53187">
              <w:rPr>
                <w:sz w:val="20"/>
                <w:szCs w:val="20"/>
              </w:rPr>
              <w:t>pH 5.3</w:t>
            </w:r>
            <w:r w:rsidR="00DC36AC" w:rsidRPr="00C53187">
              <w:rPr>
                <w:sz w:val="20"/>
                <w:szCs w:val="20"/>
              </w:rPr>
              <w:t>, measured</w:t>
            </w:r>
            <w:r w:rsidR="0098767D" w:rsidRPr="00C53187">
              <w:rPr>
                <w:sz w:val="20"/>
                <w:szCs w:val="20"/>
              </w:rPr>
              <w:t>)</w:t>
            </w:r>
          </w:p>
        </w:tc>
        <w:tc>
          <w:tcPr>
            <w:tcW w:w="2790" w:type="dxa"/>
            <w:tcBorders>
              <w:bottom w:val="single" w:sz="6" w:space="0" w:color="auto"/>
            </w:tcBorders>
          </w:tcPr>
          <w:p w:rsidR="00E74BC8" w:rsidRPr="00C53187" w:rsidRDefault="00D22FE6" w:rsidP="00C53187">
            <w:pPr>
              <w:pStyle w:val="MSDS-TZeile"/>
              <w:ind w:left="0"/>
              <w:jc w:val="center"/>
              <w:rPr>
                <w:rFonts w:ascii="Times New Roman" w:hAnsi="Times New Roman" w:cs="Times New Roman"/>
                <w:lang w:val="en-US"/>
              </w:rPr>
            </w:pPr>
            <w:hyperlink r:id="rId62" w:history="1">
              <w:r w:rsidR="00C62D6F" w:rsidRPr="00C53187">
                <w:rPr>
                  <w:rStyle w:val="Hyperlink"/>
                </w:rPr>
                <w:t>http://www.oecd.org/env/hazard/data</w:t>
              </w:r>
            </w:hyperlink>
          </w:p>
        </w:tc>
      </w:tr>
      <w:tr w:rsidR="00E74BC8" w:rsidRPr="00D93C78" w:rsidTr="00F1532E">
        <w:trPr>
          <w:trHeight w:val="318"/>
        </w:trPr>
        <w:tc>
          <w:tcPr>
            <w:tcW w:w="9510" w:type="dxa"/>
            <w:gridSpan w:val="5"/>
            <w:tcBorders>
              <w:top w:val="single" w:sz="6" w:space="0" w:color="auto"/>
              <w:bottom w:val="single" w:sz="6" w:space="0" w:color="auto"/>
            </w:tcBorders>
          </w:tcPr>
          <w:p w:rsidR="00E74BC8" w:rsidRPr="00C53187" w:rsidRDefault="00E74BC8" w:rsidP="00C53187">
            <w:pPr>
              <w:pStyle w:val="MSDS-TZeile"/>
              <w:ind w:left="0"/>
              <w:jc w:val="center"/>
              <w:rPr>
                <w:rFonts w:ascii="Times New Roman" w:hAnsi="Times New Roman" w:cs="Times New Roman"/>
                <w:i/>
                <w:lang w:val="en-US"/>
              </w:rPr>
            </w:pPr>
            <w:r w:rsidRPr="00C53187">
              <w:rPr>
                <w:rFonts w:ascii="Times New Roman" w:hAnsi="Times New Roman" w:cs="Times New Roman"/>
                <w:i/>
                <w:lang w:val="en-US"/>
              </w:rPr>
              <w:t>Algae</w:t>
            </w:r>
          </w:p>
        </w:tc>
      </w:tr>
      <w:tr w:rsidR="00E74BC8" w:rsidRPr="00D93C78" w:rsidTr="00F1532E">
        <w:trPr>
          <w:trHeight w:val="264"/>
        </w:trPr>
        <w:tc>
          <w:tcPr>
            <w:tcW w:w="9510" w:type="dxa"/>
            <w:gridSpan w:val="5"/>
            <w:tcBorders>
              <w:top w:val="single" w:sz="6" w:space="0" w:color="auto"/>
            </w:tcBorders>
          </w:tcPr>
          <w:p w:rsidR="00E74BC8" w:rsidRPr="00C53187" w:rsidRDefault="00E74BC8" w:rsidP="00C53187">
            <w:pPr>
              <w:pStyle w:val="MSDS-TZeile"/>
              <w:ind w:left="0"/>
              <w:jc w:val="center"/>
              <w:rPr>
                <w:rFonts w:ascii="Times New Roman" w:hAnsi="Times New Roman" w:cs="Times New Roman"/>
                <w:b/>
                <w:lang w:val="en-US"/>
              </w:rPr>
            </w:pPr>
            <w:r w:rsidRPr="00C53187">
              <w:rPr>
                <w:rFonts w:ascii="Times New Roman" w:hAnsi="Times New Roman" w:cs="Times New Roman"/>
                <w:b/>
                <w:lang w:val="en-US"/>
              </w:rPr>
              <w:t>Supporting substance</w:t>
            </w:r>
          </w:p>
        </w:tc>
      </w:tr>
      <w:tr w:rsidR="00E74BC8" w:rsidRPr="00D93C78" w:rsidTr="00C53187">
        <w:trPr>
          <w:trHeight w:val="786"/>
        </w:trPr>
        <w:tc>
          <w:tcPr>
            <w:tcW w:w="1680" w:type="dxa"/>
            <w:vMerge w:val="restart"/>
          </w:tcPr>
          <w:p w:rsidR="00E74BC8" w:rsidRPr="00C53187" w:rsidRDefault="00E74BC8" w:rsidP="00C53187">
            <w:pPr>
              <w:jc w:val="center"/>
              <w:rPr>
                <w:sz w:val="20"/>
                <w:szCs w:val="20"/>
              </w:rPr>
            </w:pPr>
            <w:r w:rsidRPr="00C53187">
              <w:rPr>
                <w:sz w:val="20"/>
                <w:szCs w:val="20"/>
              </w:rPr>
              <w:t>VTMS</w:t>
            </w:r>
          </w:p>
        </w:tc>
        <w:tc>
          <w:tcPr>
            <w:tcW w:w="1620" w:type="dxa"/>
          </w:tcPr>
          <w:p w:rsidR="00E74BC8" w:rsidRPr="00C53187" w:rsidRDefault="00E74BC8" w:rsidP="00C53187">
            <w:pPr>
              <w:jc w:val="center"/>
              <w:rPr>
                <w:sz w:val="20"/>
                <w:szCs w:val="20"/>
              </w:rPr>
            </w:pPr>
            <w:r w:rsidRPr="00C53187">
              <w:rPr>
                <w:sz w:val="20"/>
                <w:szCs w:val="20"/>
              </w:rPr>
              <w:t>OECD TG 201</w:t>
            </w:r>
          </w:p>
        </w:tc>
        <w:tc>
          <w:tcPr>
            <w:tcW w:w="1980" w:type="dxa"/>
          </w:tcPr>
          <w:p w:rsidR="00E74BC8" w:rsidRPr="00C53187" w:rsidRDefault="00E74BC8" w:rsidP="00C53187">
            <w:pPr>
              <w:jc w:val="center"/>
              <w:rPr>
                <w:i/>
                <w:sz w:val="20"/>
                <w:szCs w:val="20"/>
              </w:rPr>
            </w:pPr>
            <w:r w:rsidRPr="00C53187">
              <w:rPr>
                <w:i/>
                <w:sz w:val="20"/>
                <w:szCs w:val="20"/>
              </w:rPr>
              <w:t>Scenedesmus subspicatus</w:t>
            </w:r>
          </w:p>
        </w:tc>
        <w:tc>
          <w:tcPr>
            <w:tcW w:w="1440" w:type="dxa"/>
          </w:tcPr>
          <w:p w:rsidR="00E74BC8" w:rsidRPr="00C53187" w:rsidRDefault="00E74BC8" w:rsidP="00C53187">
            <w:pPr>
              <w:jc w:val="center"/>
              <w:rPr>
                <w:sz w:val="20"/>
                <w:szCs w:val="20"/>
              </w:rPr>
            </w:pPr>
            <w:r w:rsidRPr="00C53187">
              <w:rPr>
                <w:sz w:val="20"/>
                <w:szCs w:val="20"/>
              </w:rPr>
              <w:t>72h E</w:t>
            </w:r>
            <w:r w:rsidRPr="00C53187">
              <w:rPr>
                <w:sz w:val="20"/>
                <w:szCs w:val="20"/>
                <w:vertAlign w:val="subscript"/>
              </w:rPr>
              <w:t>r</w:t>
            </w:r>
            <w:r w:rsidRPr="00C53187">
              <w:rPr>
                <w:sz w:val="20"/>
                <w:szCs w:val="20"/>
              </w:rPr>
              <w:t>C</w:t>
            </w:r>
            <w:r w:rsidRPr="00C53187">
              <w:rPr>
                <w:sz w:val="20"/>
                <w:szCs w:val="20"/>
                <w:vertAlign w:val="subscript"/>
              </w:rPr>
              <w:t>50</w:t>
            </w:r>
            <w:r w:rsidRPr="00C53187">
              <w:rPr>
                <w:sz w:val="20"/>
                <w:szCs w:val="20"/>
              </w:rPr>
              <w:t>; E</w:t>
            </w:r>
            <w:r w:rsidRPr="00C53187">
              <w:rPr>
                <w:sz w:val="20"/>
                <w:szCs w:val="20"/>
                <w:vertAlign w:val="subscript"/>
              </w:rPr>
              <w:t>b</w:t>
            </w:r>
            <w:r w:rsidRPr="00C53187">
              <w:rPr>
                <w:sz w:val="20"/>
                <w:szCs w:val="20"/>
              </w:rPr>
              <w:t>C</w:t>
            </w:r>
            <w:r w:rsidRPr="00C53187">
              <w:rPr>
                <w:sz w:val="20"/>
                <w:szCs w:val="20"/>
                <w:vertAlign w:val="subscript"/>
              </w:rPr>
              <w:t>50</w:t>
            </w:r>
            <w:r w:rsidRPr="00C53187">
              <w:rPr>
                <w:sz w:val="20"/>
                <w:szCs w:val="20"/>
              </w:rPr>
              <w:t xml:space="preserve"> &gt;100 (nominal)</w:t>
            </w:r>
          </w:p>
        </w:tc>
        <w:tc>
          <w:tcPr>
            <w:tcW w:w="2790" w:type="dxa"/>
            <w:vMerge w:val="restart"/>
          </w:tcPr>
          <w:p w:rsidR="00E74BC8" w:rsidRPr="00C53187" w:rsidRDefault="00D22FE6" w:rsidP="00C53187">
            <w:pPr>
              <w:pStyle w:val="MSDS-TZeile"/>
              <w:ind w:left="0"/>
              <w:jc w:val="center"/>
              <w:rPr>
                <w:rFonts w:ascii="Times New Roman" w:hAnsi="Times New Roman" w:cs="Times New Roman"/>
              </w:rPr>
            </w:pPr>
            <w:hyperlink r:id="rId63" w:history="1">
              <w:r w:rsidR="00C62D6F" w:rsidRPr="00C53187">
                <w:rPr>
                  <w:rStyle w:val="Hyperlink"/>
                </w:rPr>
                <w:t>http://www.oecd.org/env/hazard/data</w:t>
              </w:r>
            </w:hyperlink>
          </w:p>
        </w:tc>
      </w:tr>
      <w:tr w:rsidR="00E74BC8" w:rsidRPr="00D93C78" w:rsidTr="00C53187">
        <w:trPr>
          <w:trHeight w:val="786"/>
        </w:trPr>
        <w:tc>
          <w:tcPr>
            <w:tcW w:w="1680" w:type="dxa"/>
            <w:vMerge/>
          </w:tcPr>
          <w:p w:rsidR="00E74BC8" w:rsidRPr="00C53187" w:rsidRDefault="00E74BC8" w:rsidP="00C53187">
            <w:pPr>
              <w:jc w:val="center"/>
              <w:rPr>
                <w:sz w:val="20"/>
                <w:szCs w:val="20"/>
              </w:rPr>
            </w:pPr>
          </w:p>
        </w:tc>
        <w:tc>
          <w:tcPr>
            <w:tcW w:w="1620" w:type="dxa"/>
          </w:tcPr>
          <w:p w:rsidR="00E74BC8" w:rsidRPr="00C53187" w:rsidRDefault="00680F05" w:rsidP="00C53187">
            <w:pPr>
              <w:jc w:val="center"/>
              <w:rPr>
                <w:sz w:val="20"/>
                <w:szCs w:val="20"/>
              </w:rPr>
            </w:pPr>
            <w:r w:rsidRPr="00C53187">
              <w:rPr>
                <w:sz w:val="20"/>
                <w:szCs w:val="20"/>
              </w:rPr>
              <w:t>Guideline 88/302/EEC</w:t>
            </w:r>
          </w:p>
        </w:tc>
        <w:tc>
          <w:tcPr>
            <w:tcW w:w="1980" w:type="dxa"/>
          </w:tcPr>
          <w:p w:rsidR="00E74BC8" w:rsidRPr="00C53187" w:rsidRDefault="00680F05" w:rsidP="00C53187">
            <w:pPr>
              <w:jc w:val="center"/>
              <w:rPr>
                <w:i/>
                <w:sz w:val="20"/>
                <w:szCs w:val="20"/>
              </w:rPr>
            </w:pPr>
            <w:r w:rsidRPr="00C53187">
              <w:rPr>
                <w:i/>
                <w:sz w:val="20"/>
                <w:szCs w:val="20"/>
              </w:rPr>
              <w:t>Scenedesmus subspicatus</w:t>
            </w:r>
          </w:p>
        </w:tc>
        <w:tc>
          <w:tcPr>
            <w:tcW w:w="1440" w:type="dxa"/>
          </w:tcPr>
          <w:p w:rsidR="00E74BC8" w:rsidRPr="00C53187" w:rsidRDefault="00680F05" w:rsidP="00C53187">
            <w:pPr>
              <w:jc w:val="center"/>
              <w:rPr>
                <w:sz w:val="20"/>
                <w:szCs w:val="20"/>
              </w:rPr>
            </w:pPr>
            <w:r w:rsidRPr="00C53187">
              <w:rPr>
                <w:sz w:val="20"/>
                <w:szCs w:val="20"/>
              </w:rPr>
              <w:t>72h E</w:t>
            </w:r>
            <w:r w:rsidRPr="00C53187">
              <w:rPr>
                <w:sz w:val="20"/>
                <w:szCs w:val="20"/>
                <w:vertAlign w:val="subscript"/>
              </w:rPr>
              <w:t>r</w:t>
            </w:r>
            <w:r w:rsidRPr="00C53187">
              <w:rPr>
                <w:sz w:val="20"/>
                <w:szCs w:val="20"/>
              </w:rPr>
              <w:t>C</w:t>
            </w:r>
            <w:r w:rsidRPr="00C53187">
              <w:rPr>
                <w:sz w:val="20"/>
                <w:szCs w:val="20"/>
                <w:vertAlign w:val="subscript"/>
              </w:rPr>
              <w:t>50</w:t>
            </w:r>
            <w:r w:rsidRPr="00C53187">
              <w:rPr>
                <w:sz w:val="20"/>
                <w:szCs w:val="20"/>
              </w:rPr>
              <w:t>; E</w:t>
            </w:r>
            <w:r w:rsidRPr="00C53187">
              <w:rPr>
                <w:sz w:val="20"/>
                <w:szCs w:val="20"/>
                <w:vertAlign w:val="subscript"/>
              </w:rPr>
              <w:t>b</w:t>
            </w:r>
            <w:r w:rsidRPr="00C53187">
              <w:rPr>
                <w:sz w:val="20"/>
                <w:szCs w:val="20"/>
              </w:rPr>
              <w:t>C</w:t>
            </w:r>
            <w:r w:rsidRPr="00C53187">
              <w:rPr>
                <w:sz w:val="20"/>
                <w:szCs w:val="20"/>
                <w:vertAlign w:val="subscript"/>
              </w:rPr>
              <w:t>50</w:t>
            </w:r>
            <w:r w:rsidRPr="00C53187">
              <w:rPr>
                <w:sz w:val="20"/>
                <w:szCs w:val="20"/>
              </w:rPr>
              <w:t xml:space="preserve"> &gt;957 (nominal)</w:t>
            </w:r>
          </w:p>
        </w:tc>
        <w:tc>
          <w:tcPr>
            <w:tcW w:w="2790" w:type="dxa"/>
            <w:vMerge/>
          </w:tcPr>
          <w:p w:rsidR="00E74BC8" w:rsidRPr="00C53187" w:rsidRDefault="00E74BC8" w:rsidP="00C53187">
            <w:pPr>
              <w:pStyle w:val="MSDS-TZeile"/>
              <w:ind w:left="0"/>
              <w:jc w:val="center"/>
              <w:rPr>
                <w:rFonts w:ascii="Times New Roman" w:hAnsi="Times New Roman" w:cs="Times New Roman"/>
              </w:rPr>
            </w:pPr>
          </w:p>
        </w:tc>
      </w:tr>
      <w:tr w:rsidR="00E74BC8" w:rsidRPr="00D93C78" w:rsidTr="00C53187">
        <w:trPr>
          <w:trHeight w:val="786"/>
        </w:trPr>
        <w:tc>
          <w:tcPr>
            <w:tcW w:w="1680" w:type="dxa"/>
            <w:vMerge/>
          </w:tcPr>
          <w:p w:rsidR="00E74BC8" w:rsidRPr="00C53187" w:rsidRDefault="00E74BC8" w:rsidP="00C53187">
            <w:pPr>
              <w:jc w:val="center"/>
              <w:rPr>
                <w:sz w:val="20"/>
                <w:szCs w:val="20"/>
              </w:rPr>
            </w:pPr>
          </w:p>
        </w:tc>
        <w:tc>
          <w:tcPr>
            <w:tcW w:w="1620" w:type="dxa"/>
          </w:tcPr>
          <w:p w:rsidR="00E74BC8" w:rsidRPr="00C53187" w:rsidRDefault="00680F05" w:rsidP="00C53187">
            <w:pPr>
              <w:jc w:val="center"/>
              <w:rPr>
                <w:sz w:val="20"/>
                <w:szCs w:val="20"/>
              </w:rPr>
            </w:pPr>
            <w:r w:rsidRPr="00C53187">
              <w:rPr>
                <w:sz w:val="20"/>
                <w:szCs w:val="20"/>
              </w:rPr>
              <w:t>OECD TG 201</w:t>
            </w:r>
          </w:p>
        </w:tc>
        <w:tc>
          <w:tcPr>
            <w:tcW w:w="1980" w:type="dxa"/>
          </w:tcPr>
          <w:p w:rsidR="00E74BC8" w:rsidRPr="00C53187" w:rsidRDefault="00680F05" w:rsidP="00C53187">
            <w:pPr>
              <w:jc w:val="center"/>
              <w:rPr>
                <w:sz w:val="20"/>
                <w:szCs w:val="20"/>
              </w:rPr>
            </w:pPr>
            <w:r w:rsidRPr="00C53187">
              <w:rPr>
                <w:sz w:val="20"/>
                <w:szCs w:val="20"/>
              </w:rPr>
              <w:t>Not specified</w:t>
            </w:r>
          </w:p>
        </w:tc>
        <w:tc>
          <w:tcPr>
            <w:tcW w:w="1440" w:type="dxa"/>
          </w:tcPr>
          <w:p w:rsidR="00E74BC8" w:rsidRPr="00C53187" w:rsidRDefault="00680F05" w:rsidP="00C53187">
            <w:pPr>
              <w:jc w:val="center"/>
              <w:rPr>
                <w:sz w:val="20"/>
                <w:szCs w:val="20"/>
              </w:rPr>
            </w:pPr>
            <w:r w:rsidRPr="00C53187">
              <w:rPr>
                <w:sz w:val="20"/>
                <w:szCs w:val="20"/>
              </w:rPr>
              <w:t>72h E</w:t>
            </w:r>
            <w:r w:rsidRPr="00C53187">
              <w:rPr>
                <w:sz w:val="20"/>
                <w:szCs w:val="20"/>
                <w:vertAlign w:val="subscript"/>
              </w:rPr>
              <w:t>r</w:t>
            </w:r>
            <w:r w:rsidRPr="00C53187">
              <w:rPr>
                <w:sz w:val="20"/>
                <w:szCs w:val="20"/>
              </w:rPr>
              <w:t>C</w:t>
            </w:r>
            <w:r w:rsidRPr="00C53187">
              <w:rPr>
                <w:sz w:val="20"/>
                <w:szCs w:val="20"/>
                <w:vertAlign w:val="subscript"/>
              </w:rPr>
              <w:t>50</w:t>
            </w:r>
            <w:r w:rsidRPr="00C53187">
              <w:rPr>
                <w:sz w:val="20"/>
                <w:szCs w:val="20"/>
              </w:rPr>
              <w:t>; E</w:t>
            </w:r>
            <w:r w:rsidRPr="00C53187">
              <w:rPr>
                <w:sz w:val="20"/>
                <w:szCs w:val="20"/>
                <w:vertAlign w:val="subscript"/>
              </w:rPr>
              <w:t>b</w:t>
            </w:r>
            <w:r w:rsidRPr="00C53187">
              <w:rPr>
                <w:sz w:val="20"/>
                <w:szCs w:val="20"/>
              </w:rPr>
              <w:t>C</w:t>
            </w:r>
            <w:r w:rsidRPr="00C53187">
              <w:rPr>
                <w:sz w:val="20"/>
                <w:szCs w:val="20"/>
                <w:vertAlign w:val="subscript"/>
              </w:rPr>
              <w:t>50</w:t>
            </w:r>
            <w:r w:rsidRPr="00C53187">
              <w:rPr>
                <w:sz w:val="20"/>
                <w:szCs w:val="20"/>
              </w:rPr>
              <w:t xml:space="preserve"> &gt;89 (not specified)</w:t>
            </w:r>
          </w:p>
        </w:tc>
        <w:tc>
          <w:tcPr>
            <w:tcW w:w="2790" w:type="dxa"/>
            <w:vMerge/>
          </w:tcPr>
          <w:p w:rsidR="00E74BC8" w:rsidRPr="00C53187" w:rsidRDefault="00E74BC8" w:rsidP="00C53187">
            <w:pPr>
              <w:pStyle w:val="MSDS-TZeile"/>
              <w:ind w:left="0"/>
              <w:jc w:val="center"/>
              <w:rPr>
                <w:rFonts w:ascii="Times New Roman" w:hAnsi="Times New Roman" w:cs="Times New Roman"/>
              </w:rPr>
            </w:pPr>
          </w:p>
        </w:tc>
      </w:tr>
      <w:tr w:rsidR="00E74BC8" w:rsidRPr="00D93C78" w:rsidTr="00C53187">
        <w:trPr>
          <w:trHeight w:val="786"/>
        </w:trPr>
        <w:tc>
          <w:tcPr>
            <w:tcW w:w="1680" w:type="dxa"/>
          </w:tcPr>
          <w:p w:rsidR="00E74BC8" w:rsidRPr="00C53187" w:rsidRDefault="00E74BC8" w:rsidP="00C53187">
            <w:pPr>
              <w:jc w:val="center"/>
              <w:rPr>
                <w:sz w:val="20"/>
                <w:szCs w:val="20"/>
              </w:rPr>
            </w:pPr>
            <w:r w:rsidRPr="00C53187">
              <w:rPr>
                <w:sz w:val="20"/>
                <w:szCs w:val="20"/>
              </w:rPr>
              <w:t>DMSD</w:t>
            </w:r>
          </w:p>
        </w:tc>
        <w:tc>
          <w:tcPr>
            <w:tcW w:w="1620" w:type="dxa"/>
          </w:tcPr>
          <w:p w:rsidR="00E74BC8" w:rsidRPr="00C53187" w:rsidRDefault="00E74BC8" w:rsidP="00C53187">
            <w:pPr>
              <w:jc w:val="center"/>
              <w:rPr>
                <w:sz w:val="20"/>
                <w:szCs w:val="20"/>
              </w:rPr>
            </w:pPr>
            <w:r w:rsidRPr="00C53187">
              <w:rPr>
                <w:sz w:val="20"/>
                <w:szCs w:val="20"/>
              </w:rPr>
              <w:t>OECD TG 201</w:t>
            </w:r>
            <w:r w:rsidR="00DC36AC" w:rsidRPr="00C53187">
              <w:rPr>
                <w:sz w:val="20"/>
                <w:szCs w:val="20"/>
              </w:rPr>
              <w:t>; static</w:t>
            </w:r>
          </w:p>
        </w:tc>
        <w:tc>
          <w:tcPr>
            <w:tcW w:w="1980" w:type="dxa"/>
          </w:tcPr>
          <w:p w:rsidR="00E74BC8" w:rsidRPr="00C53187" w:rsidRDefault="00E74BC8" w:rsidP="00C53187">
            <w:pPr>
              <w:jc w:val="center"/>
              <w:rPr>
                <w:i/>
                <w:sz w:val="20"/>
                <w:szCs w:val="20"/>
              </w:rPr>
            </w:pPr>
            <w:r w:rsidRPr="00C53187">
              <w:rPr>
                <w:i/>
                <w:sz w:val="20"/>
                <w:szCs w:val="20"/>
              </w:rPr>
              <w:t>Pseudokirchneriella subcapitata</w:t>
            </w:r>
          </w:p>
        </w:tc>
        <w:tc>
          <w:tcPr>
            <w:tcW w:w="1440" w:type="dxa"/>
          </w:tcPr>
          <w:p w:rsidR="00E74BC8" w:rsidRPr="00C53187" w:rsidRDefault="00E74BC8" w:rsidP="00C53187">
            <w:pPr>
              <w:jc w:val="center"/>
              <w:rPr>
                <w:sz w:val="20"/>
                <w:szCs w:val="20"/>
              </w:rPr>
            </w:pPr>
            <w:r w:rsidRPr="00C53187">
              <w:rPr>
                <w:sz w:val="20"/>
                <w:szCs w:val="20"/>
              </w:rPr>
              <w:t>72h E</w:t>
            </w:r>
            <w:r w:rsidRPr="00C53187">
              <w:rPr>
                <w:sz w:val="20"/>
                <w:szCs w:val="20"/>
                <w:vertAlign w:val="subscript"/>
              </w:rPr>
              <w:t>r</w:t>
            </w:r>
            <w:r w:rsidRPr="00C53187">
              <w:rPr>
                <w:sz w:val="20"/>
                <w:szCs w:val="20"/>
              </w:rPr>
              <w:t>C</w:t>
            </w:r>
            <w:r w:rsidRPr="00C53187">
              <w:rPr>
                <w:sz w:val="20"/>
                <w:szCs w:val="20"/>
                <w:vertAlign w:val="subscript"/>
              </w:rPr>
              <w:t xml:space="preserve">50 </w:t>
            </w:r>
            <w:r w:rsidRPr="00C53187">
              <w:rPr>
                <w:sz w:val="20"/>
                <w:szCs w:val="20"/>
              </w:rPr>
              <w:t>and E</w:t>
            </w:r>
            <w:r w:rsidRPr="00C53187">
              <w:rPr>
                <w:sz w:val="20"/>
                <w:szCs w:val="20"/>
                <w:vertAlign w:val="subscript"/>
              </w:rPr>
              <w:t>b</w:t>
            </w:r>
            <w:r w:rsidRPr="00C53187">
              <w:rPr>
                <w:sz w:val="20"/>
                <w:szCs w:val="20"/>
              </w:rPr>
              <w:t>C</w:t>
            </w:r>
            <w:r w:rsidRPr="00C53187">
              <w:rPr>
                <w:sz w:val="20"/>
                <w:szCs w:val="20"/>
                <w:vertAlign w:val="subscript"/>
              </w:rPr>
              <w:t>50</w:t>
            </w:r>
            <w:r w:rsidRPr="00C53187">
              <w:rPr>
                <w:sz w:val="20"/>
                <w:szCs w:val="20"/>
              </w:rPr>
              <w:t xml:space="preserve"> </w:t>
            </w:r>
            <w:r w:rsidR="00B00C1A" w:rsidRPr="00C53187">
              <w:rPr>
                <w:sz w:val="20"/>
                <w:szCs w:val="20"/>
              </w:rPr>
              <w:t>&gt;</w:t>
            </w:r>
            <w:r w:rsidRPr="00C53187">
              <w:rPr>
                <w:sz w:val="20"/>
                <w:szCs w:val="20"/>
              </w:rPr>
              <w:t xml:space="preserve">118 </w:t>
            </w:r>
            <w:r w:rsidR="00DC36AC" w:rsidRPr="00C53187">
              <w:rPr>
                <w:sz w:val="20"/>
                <w:szCs w:val="20"/>
              </w:rPr>
              <w:t>(measured)</w:t>
            </w:r>
          </w:p>
        </w:tc>
        <w:tc>
          <w:tcPr>
            <w:tcW w:w="2790" w:type="dxa"/>
          </w:tcPr>
          <w:p w:rsidR="00E74BC8" w:rsidRPr="00C53187" w:rsidRDefault="00E74BC8" w:rsidP="00C53187">
            <w:pPr>
              <w:pStyle w:val="MSDS-TZeile"/>
              <w:ind w:left="0"/>
              <w:jc w:val="center"/>
              <w:rPr>
                <w:rFonts w:ascii="Times New Roman" w:hAnsi="Times New Roman" w:cs="Times New Roman"/>
              </w:rPr>
            </w:pPr>
            <w:r w:rsidRPr="00C53187">
              <w:rPr>
                <w:rFonts w:ascii="Times New Roman" w:hAnsi="Times New Roman" w:cs="Times New Roman"/>
              </w:rPr>
              <w:t>Jezowski, 2008</w:t>
            </w:r>
          </w:p>
        </w:tc>
      </w:tr>
      <w:tr w:rsidR="00E74BC8" w:rsidRPr="00D93C78" w:rsidTr="00C53187">
        <w:trPr>
          <w:trHeight w:val="327"/>
        </w:trPr>
        <w:tc>
          <w:tcPr>
            <w:tcW w:w="9510" w:type="dxa"/>
            <w:gridSpan w:val="5"/>
          </w:tcPr>
          <w:p w:rsidR="00E74BC8" w:rsidRPr="00C53187" w:rsidRDefault="00E74BC8" w:rsidP="00C53187">
            <w:pPr>
              <w:pStyle w:val="MSDS-TZeile"/>
              <w:ind w:left="0"/>
              <w:jc w:val="center"/>
              <w:rPr>
                <w:rFonts w:ascii="Times New Roman" w:hAnsi="Times New Roman" w:cs="Times New Roman"/>
                <w:b/>
                <w:lang w:val="en-US"/>
              </w:rPr>
            </w:pPr>
            <w:r w:rsidRPr="00C53187">
              <w:rPr>
                <w:rFonts w:ascii="Times New Roman" w:hAnsi="Times New Roman" w:cs="Times New Roman"/>
                <w:b/>
                <w:lang w:val="en-US"/>
              </w:rPr>
              <w:t>Hydrolysis product</w:t>
            </w:r>
          </w:p>
        </w:tc>
      </w:tr>
      <w:tr w:rsidR="00E74BC8" w:rsidRPr="00D93C78" w:rsidTr="00C53187">
        <w:trPr>
          <w:trHeight w:val="678"/>
        </w:trPr>
        <w:tc>
          <w:tcPr>
            <w:tcW w:w="1680" w:type="dxa"/>
          </w:tcPr>
          <w:p w:rsidR="00E74BC8" w:rsidRPr="00C53187" w:rsidRDefault="00E74BC8" w:rsidP="00C53187">
            <w:pPr>
              <w:jc w:val="center"/>
              <w:rPr>
                <w:sz w:val="20"/>
                <w:szCs w:val="20"/>
              </w:rPr>
            </w:pPr>
            <w:r w:rsidRPr="00C53187">
              <w:rPr>
                <w:sz w:val="20"/>
                <w:szCs w:val="20"/>
              </w:rPr>
              <w:t>HCl</w:t>
            </w:r>
          </w:p>
        </w:tc>
        <w:tc>
          <w:tcPr>
            <w:tcW w:w="1620" w:type="dxa"/>
          </w:tcPr>
          <w:p w:rsidR="00E74BC8" w:rsidRPr="00C53187" w:rsidRDefault="00E74BC8" w:rsidP="00C53187">
            <w:pPr>
              <w:jc w:val="center"/>
              <w:rPr>
                <w:sz w:val="20"/>
                <w:szCs w:val="20"/>
              </w:rPr>
            </w:pPr>
            <w:r w:rsidRPr="00C53187">
              <w:rPr>
                <w:sz w:val="20"/>
                <w:szCs w:val="20"/>
              </w:rPr>
              <w:t>OECD TG 201; static</w:t>
            </w:r>
          </w:p>
        </w:tc>
        <w:tc>
          <w:tcPr>
            <w:tcW w:w="1980" w:type="dxa"/>
          </w:tcPr>
          <w:p w:rsidR="00E74BC8" w:rsidRPr="00C53187" w:rsidRDefault="00E74BC8" w:rsidP="00C53187">
            <w:pPr>
              <w:jc w:val="center"/>
              <w:rPr>
                <w:i/>
                <w:sz w:val="20"/>
                <w:szCs w:val="20"/>
              </w:rPr>
            </w:pPr>
            <w:r w:rsidRPr="00C53187">
              <w:rPr>
                <w:i/>
                <w:sz w:val="20"/>
                <w:szCs w:val="20"/>
              </w:rPr>
              <w:t>Selenastrum capricornutum</w:t>
            </w:r>
          </w:p>
        </w:tc>
        <w:tc>
          <w:tcPr>
            <w:tcW w:w="1440" w:type="dxa"/>
          </w:tcPr>
          <w:p w:rsidR="00BE3FD4" w:rsidRPr="00C53187" w:rsidRDefault="00BE3FD4" w:rsidP="00C53187">
            <w:pPr>
              <w:jc w:val="center"/>
              <w:rPr>
                <w:sz w:val="20"/>
                <w:szCs w:val="20"/>
              </w:rPr>
            </w:pPr>
            <w:r w:rsidRPr="00C53187">
              <w:rPr>
                <w:sz w:val="20"/>
                <w:szCs w:val="20"/>
              </w:rPr>
              <w:t>72h EC50 = 0.780 mg/L (pH 5.1</w:t>
            </w:r>
            <w:r w:rsidR="00DC36AC" w:rsidRPr="00C53187">
              <w:rPr>
                <w:sz w:val="20"/>
                <w:szCs w:val="20"/>
              </w:rPr>
              <w:t>, measured</w:t>
            </w:r>
            <w:r w:rsidRPr="00C53187">
              <w:rPr>
                <w:sz w:val="20"/>
                <w:szCs w:val="20"/>
              </w:rPr>
              <w:t>) for biomass</w:t>
            </w:r>
          </w:p>
          <w:p w:rsidR="00E74BC8" w:rsidRPr="00C53187" w:rsidRDefault="00E74BC8" w:rsidP="00C53187">
            <w:pPr>
              <w:jc w:val="center"/>
              <w:rPr>
                <w:sz w:val="20"/>
                <w:szCs w:val="20"/>
              </w:rPr>
            </w:pPr>
            <w:r w:rsidRPr="00C53187">
              <w:rPr>
                <w:sz w:val="20"/>
                <w:szCs w:val="20"/>
              </w:rPr>
              <w:t>72h EC</w:t>
            </w:r>
            <w:r w:rsidRPr="00C53187">
              <w:rPr>
                <w:sz w:val="20"/>
                <w:szCs w:val="20"/>
                <w:vertAlign w:val="subscript"/>
              </w:rPr>
              <w:t xml:space="preserve">50 </w:t>
            </w:r>
            <w:r w:rsidRPr="00C53187">
              <w:rPr>
                <w:sz w:val="20"/>
                <w:szCs w:val="20"/>
              </w:rPr>
              <w:t>=</w:t>
            </w:r>
            <w:r w:rsidR="0098767D" w:rsidRPr="00C53187">
              <w:rPr>
                <w:sz w:val="20"/>
                <w:szCs w:val="20"/>
              </w:rPr>
              <w:t xml:space="preserve"> 0.492 mg/L (</w:t>
            </w:r>
            <w:r w:rsidRPr="00C53187">
              <w:rPr>
                <w:sz w:val="20"/>
                <w:szCs w:val="20"/>
              </w:rPr>
              <w:t>pH 5.3</w:t>
            </w:r>
            <w:r w:rsidR="00DC36AC" w:rsidRPr="00C53187">
              <w:rPr>
                <w:sz w:val="20"/>
                <w:szCs w:val="20"/>
              </w:rPr>
              <w:t>, measured</w:t>
            </w:r>
            <w:r w:rsidR="0098767D" w:rsidRPr="00C53187">
              <w:rPr>
                <w:sz w:val="20"/>
                <w:szCs w:val="20"/>
              </w:rPr>
              <w:t>)</w:t>
            </w:r>
            <w:r w:rsidR="00BE3FD4" w:rsidRPr="00C53187">
              <w:rPr>
                <w:sz w:val="20"/>
                <w:szCs w:val="20"/>
              </w:rPr>
              <w:t xml:space="preserve"> for growth rate</w:t>
            </w:r>
          </w:p>
        </w:tc>
        <w:tc>
          <w:tcPr>
            <w:tcW w:w="2790" w:type="dxa"/>
          </w:tcPr>
          <w:p w:rsidR="00E74BC8" w:rsidRPr="00C53187" w:rsidRDefault="00D22FE6" w:rsidP="00C53187">
            <w:pPr>
              <w:pStyle w:val="MSDS-TZeile"/>
              <w:ind w:left="0"/>
              <w:jc w:val="center"/>
              <w:rPr>
                <w:rFonts w:ascii="Times New Roman" w:hAnsi="Times New Roman" w:cs="Times New Roman"/>
                <w:lang w:val="en-US"/>
              </w:rPr>
            </w:pPr>
            <w:hyperlink r:id="rId64" w:history="1">
              <w:r w:rsidR="00C62D6F" w:rsidRPr="00C53187">
                <w:rPr>
                  <w:rStyle w:val="Hyperlink"/>
                </w:rPr>
                <w:t>http://www.oecd.org/env/hazard/data</w:t>
              </w:r>
            </w:hyperlink>
          </w:p>
        </w:tc>
      </w:tr>
    </w:tbl>
    <w:p w:rsidR="00C1433D" w:rsidRPr="00D93C78" w:rsidRDefault="00C1433D" w:rsidP="00740E9A">
      <w:pPr>
        <w:pStyle w:val="Heading8"/>
        <w:spacing w:before="240"/>
        <w:jc w:val="both"/>
      </w:pPr>
      <w:r w:rsidRPr="00D93C78">
        <w:t>Conclusion</w:t>
      </w:r>
    </w:p>
    <w:p w:rsidR="00EB7D0D" w:rsidRPr="00D93C78" w:rsidRDefault="005728C8" w:rsidP="00D93C78">
      <w:pPr>
        <w:pStyle w:val="BodyText"/>
        <w:rPr>
          <w:szCs w:val="24"/>
        </w:rPr>
      </w:pPr>
      <w:r w:rsidRPr="00D93C78">
        <w:rPr>
          <w:szCs w:val="24"/>
        </w:rPr>
        <w:t>A</w:t>
      </w:r>
      <w:r w:rsidR="001D42D3" w:rsidRPr="00D93C78">
        <w:rPr>
          <w:szCs w:val="24"/>
        </w:rPr>
        <w:t xml:space="preserve">cute </w:t>
      </w:r>
      <w:r w:rsidRPr="00D93C78">
        <w:rPr>
          <w:szCs w:val="24"/>
        </w:rPr>
        <w:t xml:space="preserve">aquatic </w:t>
      </w:r>
      <w:r w:rsidR="001D42D3" w:rsidRPr="00D93C78">
        <w:rPr>
          <w:szCs w:val="24"/>
        </w:rPr>
        <w:t xml:space="preserve">toxicity </w:t>
      </w:r>
      <w:r w:rsidRPr="00D93C78">
        <w:rPr>
          <w:szCs w:val="24"/>
        </w:rPr>
        <w:t xml:space="preserve">data </w:t>
      </w:r>
      <w:r w:rsidR="00386687" w:rsidRPr="00D93C78">
        <w:rPr>
          <w:szCs w:val="24"/>
        </w:rPr>
        <w:t>are</w:t>
      </w:r>
      <w:r w:rsidR="00EB7D0D" w:rsidRPr="00D93C78">
        <w:rPr>
          <w:szCs w:val="24"/>
        </w:rPr>
        <w:t xml:space="preserve"> not available for </w:t>
      </w:r>
      <w:r w:rsidR="00680F05" w:rsidRPr="00D93C78">
        <w:rPr>
          <w:szCs w:val="24"/>
        </w:rPr>
        <w:t>vinyl</w:t>
      </w:r>
      <w:r w:rsidR="001D42D3" w:rsidRPr="00D93C78">
        <w:rPr>
          <w:szCs w:val="24"/>
        </w:rPr>
        <w:t xml:space="preserve"> chlorosilanes. The</w:t>
      </w:r>
      <w:r w:rsidR="00DC36AC" w:rsidRPr="00D93C78">
        <w:rPr>
          <w:szCs w:val="24"/>
        </w:rPr>
        <w:t xml:space="preserve"> vinyl chlorosilanes</w:t>
      </w:r>
      <w:r w:rsidR="00F44BAC" w:rsidRPr="00D93C78">
        <w:rPr>
          <w:bCs/>
          <w:szCs w:val="24"/>
        </w:rPr>
        <w:t xml:space="preserve"> </w:t>
      </w:r>
      <w:r w:rsidR="00EB7D0D" w:rsidRPr="00D93C78">
        <w:rPr>
          <w:szCs w:val="24"/>
        </w:rPr>
        <w:t>undergo rapid hydrolysis</w:t>
      </w:r>
      <w:r w:rsidR="00DC36AC" w:rsidRPr="00D93C78">
        <w:rPr>
          <w:szCs w:val="24"/>
        </w:rPr>
        <w:t>, which would occur during testing;</w:t>
      </w:r>
      <w:r w:rsidR="00EB7D0D" w:rsidRPr="00D93C78">
        <w:rPr>
          <w:szCs w:val="24"/>
        </w:rPr>
        <w:t xml:space="preserve"> </w:t>
      </w:r>
      <w:r w:rsidR="00DC36AC" w:rsidRPr="00D93C78">
        <w:rPr>
          <w:szCs w:val="24"/>
        </w:rPr>
        <w:t xml:space="preserve">therefore, </w:t>
      </w:r>
      <w:r w:rsidR="00EB7D0D" w:rsidRPr="00D93C78">
        <w:rPr>
          <w:szCs w:val="24"/>
        </w:rPr>
        <w:t xml:space="preserve">exposure to </w:t>
      </w:r>
      <w:r w:rsidR="001D42D3" w:rsidRPr="00D93C78">
        <w:rPr>
          <w:szCs w:val="24"/>
        </w:rPr>
        <w:t>parent</w:t>
      </w:r>
      <w:r w:rsidR="00EB7D0D" w:rsidRPr="00D93C78">
        <w:rPr>
          <w:szCs w:val="24"/>
        </w:rPr>
        <w:t xml:space="preserve"> </w:t>
      </w:r>
      <w:r w:rsidR="00DC36AC" w:rsidRPr="00D93C78">
        <w:rPr>
          <w:szCs w:val="24"/>
        </w:rPr>
        <w:t xml:space="preserve">chlorosilane </w:t>
      </w:r>
      <w:r w:rsidR="001D42D3" w:rsidRPr="00D93C78">
        <w:rPr>
          <w:szCs w:val="24"/>
        </w:rPr>
        <w:t>is</w:t>
      </w:r>
      <w:r w:rsidR="00EB7D0D" w:rsidRPr="00D93C78">
        <w:rPr>
          <w:szCs w:val="24"/>
        </w:rPr>
        <w:t xml:space="preserve"> likely to be transient and observed toxicity </w:t>
      </w:r>
      <w:r w:rsidR="00DC36AC" w:rsidRPr="00D93C78">
        <w:rPr>
          <w:szCs w:val="24"/>
        </w:rPr>
        <w:t>would</w:t>
      </w:r>
      <w:r w:rsidR="00EB7D0D" w:rsidRPr="00D93C78">
        <w:rPr>
          <w:szCs w:val="24"/>
        </w:rPr>
        <w:t xml:space="preserve"> likely </w:t>
      </w:r>
      <w:r w:rsidR="00DC36AC" w:rsidRPr="00D93C78">
        <w:rPr>
          <w:szCs w:val="24"/>
        </w:rPr>
        <w:t xml:space="preserve">be </w:t>
      </w:r>
      <w:r w:rsidR="00EB7D0D" w:rsidRPr="00D93C78">
        <w:rPr>
          <w:szCs w:val="24"/>
        </w:rPr>
        <w:t xml:space="preserve">due </w:t>
      </w:r>
      <w:r w:rsidR="00DC36AC" w:rsidRPr="00D93C78">
        <w:rPr>
          <w:szCs w:val="24"/>
        </w:rPr>
        <w:t xml:space="preserve">to </w:t>
      </w:r>
      <w:r w:rsidR="00EB7D0D" w:rsidRPr="00D93C78">
        <w:rPr>
          <w:szCs w:val="24"/>
        </w:rPr>
        <w:t xml:space="preserve">its hydrolysis products, HCl and the </w:t>
      </w:r>
      <w:r w:rsidR="00DC36AC" w:rsidRPr="00D93C78">
        <w:rPr>
          <w:szCs w:val="24"/>
        </w:rPr>
        <w:t>respective</w:t>
      </w:r>
      <w:r w:rsidR="00EB7D0D" w:rsidRPr="00D93C78">
        <w:rPr>
          <w:szCs w:val="24"/>
        </w:rPr>
        <w:t xml:space="preserve"> silanol hydrolysis product</w:t>
      </w:r>
      <w:r w:rsidR="00DC36AC" w:rsidRPr="00D93C78">
        <w:rPr>
          <w:szCs w:val="24"/>
        </w:rPr>
        <w:t>s</w:t>
      </w:r>
      <w:r w:rsidR="00EB7D0D" w:rsidRPr="00D93C78">
        <w:rPr>
          <w:szCs w:val="24"/>
        </w:rPr>
        <w:t>.</w:t>
      </w:r>
      <w:r w:rsidR="00DC36AC" w:rsidRPr="00D93C78">
        <w:rPr>
          <w:szCs w:val="24"/>
        </w:rPr>
        <w:t xml:space="preserve">  Data are available for the supporting substance, VTMS and the silanol, DMSD.</w:t>
      </w:r>
      <w:r w:rsidR="00EB7D0D" w:rsidRPr="00D93C78">
        <w:rPr>
          <w:szCs w:val="24"/>
        </w:rPr>
        <w:t xml:space="preserve">  </w:t>
      </w:r>
      <w:r w:rsidR="00131755" w:rsidRPr="00D93C78">
        <w:rPr>
          <w:szCs w:val="24"/>
        </w:rPr>
        <w:t>D</w:t>
      </w:r>
      <w:r w:rsidR="00EB7D0D" w:rsidRPr="00D93C78">
        <w:rPr>
          <w:szCs w:val="24"/>
        </w:rPr>
        <w:t xml:space="preserve">ata for </w:t>
      </w:r>
      <w:r w:rsidR="000F71B7" w:rsidRPr="00D93C78">
        <w:rPr>
          <w:szCs w:val="24"/>
        </w:rPr>
        <w:t>supporting</w:t>
      </w:r>
      <w:r w:rsidR="00EB7D0D" w:rsidRPr="00D93C78">
        <w:rPr>
          <w:szCs w:val="24"/>
        </w:rPr>
        <w:t xml:space="preserve"> substance</w:t>
      </w:r>
      <w:r w:rsidR="000F71B7" w:rsidRPr="00D93C78">
        <w:rPr>
          <w:szCs w:val="24"/>
        </w:rPr>
        <w:t>s</w:t>
      </w:r>
      <w:r w:rsidR="002548AF" w:rsidRPr="00D93C78">
        <w:rPr>
          <w:szCs w:val="24"/>
        </w:rPr>
        <w:t xml:space="preserve"> </w:t>
      </w:r>
      <w:r w:rsidR="00EB7D0D" w:rsidRPr="00D93C78">
        <w:rPr>
          <w:szCs w:val="24"/>
        </w:rPr>
        <w:t>indicate that the resultant silanols pose a low hazard to the aquatic environment</w:t>
      </w:r>
      <w:r w:rsidR="000F71B7" w:rsidRPr="00D93C78">
        <w:rPr>
          <w:szCs w:val="24"/>
        </w:rPr>
        <w:t xml:space="preserve"> (EC50’s </w:t>
      </w:r>
      <w:r w:rsidR="00680F05" w:rsidRPr="00D93C78">
        <w:rPr>
          <w:szCs w:val="24"/>
        </w:rPr>
        <w:t xml:space="preserve">generally </w:t>
      </w:r>
      <w:r w:rsidR="000F71B7" w:rsidRPr="00D93C78">
        <w:rPr>
          <w:szCs w:val="24"/>
        </w:rPr>
        <w:t xml:space="preserve">greater than 100 mg/L for </w:t>
      </w:r>
      <w:r w:rsidR="00680F05" w:rsidRPr="00D93C78">
        <w:rPr>
          <w:szCs w:val="24"/>
        </w:rPr>
        <w:t>VTMS and DMSD</w:t>
      </w:r>
      <w:r w:rsidR="000F71B7" w:rsidRPr="00D93C78">
        <w:rPr>
          <w:szCs w:val="24"/>
        </w:rPr>
        <w:t>)</w:t>
      </w:r>
      <w:r w:rsidR="00EB7D0D" w:rsidRPr="00D93C78">
        <w:rPr>
          <w:szCs w:val="24"/>
        </w:rPr>
        <w:t xml:space="preserve">. The hazard of </w:t>
      </w:r>
      <w:r w:rsidR="006A229B" w:rsidRPr="00D93C78">
        <w:rPr>
          <w:szCs w:val="24"/>
        </w:rPr>
        <w:t>hydrochloric acid</w:t>
      </w:r>
      <w:r w:rsidR="00EB7D0D" w:rsidRPr="00D93C78">
        <w:rPr>
          <w:szCs w:val="24"/>
        </w:rPr>
        <w:t xml:space="preserve"> for the environment is caused by the proton (pH</w:t>
      </w:r>
      <w:r w:rsidR="006A229B" w:rsidRPr="00D93C78">
        <w:rPr>
          <w:szCs w:val="24"/>
        </w:rPr>
        <w:t>)</w:t>
      </w:r>
      <w:r w:rsidR="00EB7D0D" w:rsidRPr="00D93C78">
        <w:rPr>
          <w:szCs w:val="24"/>
        </w:rPr>
        <w:t xml:space="preserve"> effect.  For this reason the effect of </w:t>
      </w:r>
      <w:r w:rsidR="006A229B" w:rsidRPr="00D93C78">
        <w:rPr>
          <w:szCs w:val="24"/>
        </w:rPr>
        <w:t>hydrogen chloride</w:t>
      </w:r>
      <w:r w:rsidR="00EB7D0D" w:rsidRPr="00D93C78">
        <w:rPr>
          <w:szCs w:val="24"/>
        </w:rPr>
        <w:t xml:space="preserve"> on the organisms depends on the buffer capacity of the aquatic ecosystem.  </w:t>
      </w:r>
      <w:r w:rsidR="006A229B" w:rsidRPr="00D93C78">
        <w:rPr>
          <w:szCs w:val="24"/>
        </w:rPr>
        <w:t xml:space="preserve">Also the variation in acute toxicity for aquatic organisms can be explained to a significant extent by the variation in buffer capacity of the test medium. For example, LC50 values of acute fish toxicity tests varied from 4.92 to 282 mg/L. The toxicity values to </w:t>
      </w:r>
      <w:r w:rsidR="006A229B" w:rsidRPr="00D93C78">
        <w:rPr>
          <w:i/>
          <w:szCs w:val="24"/>
        </w:rPr>
        <w:t>Selenastrum capricornutum</w:t>
      </w:r>
      <w:r w:rsidR="006A229B" w:rsidRPr="00D93C78">
        <w:rPr>
          <w:szCs w:val="24"/>
        </w:rPr>
        <w:t xml:space="preserve"> 72h-EC50 is 0.780 mg/L at pH 5.1 for biomass, 0.492 mg/L at pH 5.3 for growth rate, and the 72h-NOEC is 0.097 mg/L at pH 6.0 for biomass and growth rate. The 48h-EC50 for </w:t>
      </w:r>
      <w:r w:rsidR="006A229B" w:rsidRPr="00D93C78">
        <w:rPr>
          <w:i/>
          <w:szCs w:val="24"/>
        </w:rPr>
        <w:t>Daphnia magna</w:t>
      </w:r>
      <w:r w:rsidR="006A229B" w:rsidRPr="00D93C78">
        <w:rPr>
          <w:szCs w:val="24"/>
        </w:rPr>
        <w:t xml:space="preserve"> is 0.492 mg/L at pH 5.3 based on immobilization.  </w:t>
      </w:r>
      <w:r w:rsidR="00EB7D0D" w:rsidRPr="00D93C78">
        <w:rPr>
          <w:szCs w:val="24"/>
        </w:rPr>
        <w:t xml:space="preserve">Based on the effects of HCl, </w:t>
      </w:r>
      <w:r w:rsidR="001D42D3" w:rsidRPr="00D93C78">
        <w:rPr>
          <w:szCs w:val="24"/>
        </w:rPr>
        <w:t xml:space="preserve">the </w:t>
      </w:r>
      <w:r w:rsidR="00C0392D" w:rsidRPr="00D93C78">
        <w:rPr>
          <w:szCs w:val="24"/>
        </w:rPr>
        <w:t>vinyl</w:t>
      </w:r>
      <w:r w:rsidR="00413FFD" w:rsidRPr="00D93C78">
        <w:rPr>
          <w:szCs w:val="24"/>
        </w:rPr>
        <w:t xml:space="preserve"> chlorosilanes</w:t>
      </w:r>
      <w:r w:rsidR="000F71B7" w:rsidRPr="00D93C78">
        <w:rPr>
          <w:szCs w:val="24"/>
        </w:rPr>
        <w:t xml:space="preserve"> </w:t>
      </w:r>
      <w:r w:rsidR="00EB7D0D" w:rsidRPr="00D93C78">
        <w:rPr>
          <w:szCs w:val="24"/>
        </w:rPr>
        <w:t>may pose a hazard to the environment if released in large enough quantity to overcome the buffering capacity.</w:t>
      </w:r>
    </w:p>
    <w:p w:rsidR="008C22FD" w:rsidRPr="00D93C78" w:rsidRDefault="00A651B9" w:rsidP="00D93C78">
      <w:pPr>
        <w:jc w:val="both"/>
        <w:rPr>
          <w:b/>
          <w:lang w:val="en-GB"/>
        </w:rPr>
      </w:pPr>
      <w:r w:rsidRPr="00D93C78">
        <w:rPr>
          <w:b/>
        </w:rPr>
        <w:t>Based on the properties of the hydrolysis product,</w:t>
      </w:r>
      <w:r w:rsidR="006F51A7" w:rsidRPr="00D93C78">
        <w:rPr>
          <w:b/>
        </w:rPr>
        <w:t xml:space="preserve"> HCl,</w:t>
      </w:r>
      <w:r w:rsidRPr="00D93C78">
        <w:rPr>
          <w:b/>
        </w:rPr>
        <w:t xml:space="preserve"> the vinyl chlorosilanes possess properties indicating a hazard for the environment (acute toxicity to fish between 1 and 100 mg/L</w:t>
      </w:r>
      <w:r w:rsidR="00BC4E3F" w:rsidRPr="00D93C78">
        <w:rPr>
          <w:b/>
        </w:rPr>
        <w:t>,</w:t>
      </w:r>
      <w:r w:rsidRPr="00D93C78">
        <w:rPr>
          <w:b/>
        </w:rPr>
        <w:t xml:space="preserve"> acute toxicity to aquatic invertebrates and toxicity to algae &lt; 1 mg/L). Toxic effects are expected primarily from the hydrolysis products (in particular hydrogen chloride, and depend on the buffering capacity of a particular aquatic environment. Therefore, the stated effect levels pertain to unbuffered systems and can be viewed as conservative). The vinyl chlorosilanes and their hydrolysis products are not expected to be readily biodegradable or to bioaccumulate.  Adequate screening-level data are available to characterize the hazard for the environment for the purposes of the OECD HPV Programme.</w:t>
      </w:r>
      <w:r w:rsidR="008C22FD" w:rsidRPr="00D93C78">
        <w:rPr>
          <w:b/>
        </w:rPr>
        <w:br w:type="page"/>
      </w:r>
    </w:p>
    <w:p w:rsidR="00C1433D" w:rsidRPr="00D93C78" w:rsidRDefault="00C1433D" w:rsidP="00D93C78">
      <w:pPr>
        <w:pStyle w:val="Heading1"/>
        <w:spacing w:before="0"/>
        <w:ind w:left="0" w:firstLine="0"/>
        <w:jc w:val="both"/>
        <w:rPr>
          <w:rFonts w:ascii="Times New Roman" w:hAnsi="Times New Roman"/>
          <w:szCs w:val="24"/>
        </w:rPr>
      </w:pPr>
      <w:bookmarkStart w:id="175" w:name="_Toc32726044"/>
      <w:bookmarkStart w:id="176" w:name="_Toc32727227"/>
      <w:bookmarkStart w:id="177" w:name="_Toc43868675"/>
      <w:bookmarkStart w:id="178" w:name="_Toc200358260"/>
      <w:bookmarkStart w:id="179" w:name="_Toc310335198"/>
      <w:r w:rsidRPr="00D93C78">
        <w:rPr>
          <w:rFonts w:ascii="Times New Roman" w:hAnsi="Times New Roman"/>
          <w:szCs w:val="24"/>
        </w:rPr>
        <w:t>5</w:t>
      </w:r>
      <w:r w:rsidRPr="00D93C78">
        <w:rPr>
          <w:rFonts w:ascii="Times New Roman" w:hAnsi="Times New Roman"/>
          <w:szCs w:val="24"/>
        </w:rPr>
        <w:tab/>
        <w:t>references</w:t>
      </w:r>
      <w:bookmarkEnd w:id="175"/>
      <w:bookmarkEnd w:id="176"/>
      <w:bookmarkEnd w:id="177"/>
      <w:bookmarkEnd w:id="178"/>
      <w:bookmarkEnd w:id="179"/>
    </w:p>
    <w:p w:rsidR="00216CA7" w:rsidRPr="00D93C78" w:rsidRDefault="00216CA7" w:rsidP="00D93C78">
      <w:pPr>
        <w:pStyle w:val="BodyText"/>
        <w:rPr>
          <w:szCs w:val="24"/>
        </w:rPr>
      </w:pPr>
      <w:r w:rsidRPr="00D93C78">
        <w:rPr>
          <w:szCs w:val="24"/>
        </w:rPr>
        <w:t>Andrianov, K. A.; Zhurnal Obshchei Khimii (1962) V32, P1126-30 CAPLUS. Cited in SciFinder® Copyright © 2011 American Chemical Society (ACS). All Rights Reserved.</w:t>
      </w:r>
    </w:p>
    <w:p w:rsidR="00AE0776" w:rsidRPr="00D93C78" w:rsidRDefault="00AE0776" w:rsidP="00D93C78">
      <w:pPr>
        <w:pStyle w:val="BodyText"/>
        <w:rPr>
          <w:szCs w:val="24"/>
        </w:rPr>
      </w:pPr>
      <w:r w:rsidRPr="00D93C78">
        <w:rPr>
          <w:szCs w:val="24"/>
        </w:rPr>
        <w:t>Bayer AG, Goldschmidt, and Wacker-Chemie (1991</w:t>
      </w:r>
      <w:r w:rsidR="002548AF" w:rsidRPr="00D93C78">
        <w:rPr>
          <w:szCs w:val="24"/>
        </w:rPr>
        <w:t>) Silicones</w:t>
      </w:r>
      <w:r w:rsidRPr="00D93C78">
        <w:rPr>
          <w:szCs w:val="24"/>
        </w:rPr>
        <w:t>: Chemistry and Technology.  CRC Press, Boca Raton.  pp. 23-25.</w:t>
      </w:r>
    </w:p>
    <w:p w:rsidR="00E0726B" w:rsidRPr="00D93C78" w:rsidRDefault="00E0726B" w:rsidP="00D93C78">
      <w:pPr>
        <w:pStyle w:val="BodyText"/>
        <w:rPr>
          <w:szCs w:val="24"/>
        </w:rPr>
      </w:pPr>
      <w:r w:rsidRPr="00D93C78">
        <w:rPr>
          <w:szCs w:val="24"/>
        </w:rPr>
        <w:t>Baumgartner D (2009) Dichloro(methyl)(vinyl)silane: Determining the Ready Biodegradability Springborn Smithers Laboratories (Europe), Seestrasse 21, Postfach, CH-9326 Horn, Switzerland 1142.000.746 ReachCentrum SPRL.</w:t>
      </w:r>
    </w:p>
    <w:p w:rsidR="00AE0776" w:rsidRPr="00D93C78" w:rsidRDefault="00AE0776" w:rsidP="00D93C78">
      <w:pPr>
        <w:pStyle w:val="BodyText"/>
        <w:rPr>
          <w:szCs w:val="24"/>
        </w:rPr>
      </w:pPr>
      <w:r w:rsidRPr="00D93C78">
        <w:rPr>
          <w:szCs w:val="24"/>
        </w:rPr>
        <w:t>Bazant, V., V. Chvalovsky, and J. Rathousky (1965</w:t>
      </w:r>
      <w:r w:rsidR="002548AF" w:rsidRPr="00D93C78">
        <w:rPr>
          <w:szCs w:val="24"/>
        </w:rPr>
        <w:t>) Organosilicon</w:t>
      </w:r>
      <w:r w:rsidRPr="00D93C78">
        <w:rPr>
          <w:szCs w:val="24"/>
        </w:rPr>
        <w:t xml:space="preserve"> Compounds.  Academic Press, New York and London.  pp. 40-75.</w:t>
      </w:r>
    </w:p>
    <w:p w:rsidR="00276B1D" w:rsidRPr="00D93C78" w:rsidRDefault="00276B1D" w:rsidP="00D93C78">
      <w:pPr>
        <w:pStyle w:val="BodyText"/>
        <w:rPr>
          <w:szCs w:val="24"/>
        </w:rPr>
      </w:pPr>
      <w:r w:rsidRPr="00D93C78">
        <w:rPr>
          <w:szCs w:val="24"/>
        </w:rPr>
        <w:t>Chandra, G. (Editor) (1997) Organosilicon Materials; The Handbook of Environmental Chemistry Volume 3 Anthropogenic Compounds, Part H. Springer.</w:t>
      </w:r>
    </w:p>
    <w:p w:rsidR="00100929" w:rsidRPr="00D93C78" w:rsidRDefault="00100929" w:rsidP="00D93C78">
      <w:pPr>
        <w:pStyle w:val="BodyText"/>
        <w:rPr>
          <w:szCs w:val="24"/>
          <w:lang w:val="fr-FR"/>
        </w:rPr>
      </w:pPr>
      <w:r w:rsidRPr="00D93C78">
        <w:rPr>
          <w:szCs w:val="24"/>
        </w:rPr>
        <w:t xml:space="preserve">Degussa (2002) Safety Data Sheet (91/155/EWG) Dynasylan VTC. </w:t>
      </w:r>
      <w:r w:rsidRPr="00D93C78">
        <w:rPr>
          <w:szCs w:val="24"/>
          <w:lang w:val="fr-FR"/>
        </w:rPr>
        <w:t xml:space="preserve">Version 3.0/REG_EU, Revision Evonik Degussa 2002-12-18.  </w:t>
      </w:r>
    </w:p>
    <w:p w:rsidR="00195C8C" w:rsidRPr="00D93C78" w:rsidRDefault="00195C8C" w:rsidP="00D93C78">
      <w:pPr>
        <w:pStyle w:val="BodyText"/>
        <w:rPr>
          <w:szCs w:val="24"/>
        </w:rPr>
      </w:pPr>
      <w:r w:rsidRPr="00D93C78">
        <w:rPr>
          <w:szCs w:val="24"/>
        </w:rPr>
        <w:t>Design Institute for Physical Property Data (DIPPR) (no date), American Institute of Chemical Engineers (AIChE), New York, N.Y., U.S.A.</w:t>
      </w:r>
    </w:p>
    <w:p w:rsidR="00B44A39" w:rsidRPr="00D93C78" w:rsidRDefault="00B44A39" w:rsidP="00D93C78">
      <w:pPr>
        <w:pStyle w:val="BodyText"/>
        <w:rPr>
          <w:szCs w:val="24"/>
        </w:rPr>
      </w:pPr>
      <w:r w:rsidRPr="00D93C78">
        <w:rPr>
          <w:szCs w:val="24"/>
        </w:rPr>
        <w:t>Drottar, K.R. and J.A. Miller (2009a) Dimethylsilanediol (CAS Number 1066-42-8): Acute Toxicity to the Rainbow Trout (</w:t>
      </w:r>
      <w:r w:rsidRPr="00D93C78">
        <w:rPr>
          <w:i/>
          <w:szCs w:val="24"/>
        </w:rPr>
        <w:t>Oncorhynchus mykiss</w:t>
      </w:r>
      <w:r w:rsidRPr="00D93C78">
        <w:rPr>
          <w:szCs w:val="24"/>
        </w:rPr>
        <w:t>) Under Static Test Conditions. Dow Corning Corporation Health and Environmental Sciences Report No.  10892-102. Sponsored by Silicones Environmental Health and Safety Council (SEHSC).</w:t>
      </w:r>
    </w:p>
    <w:p w:rsidR="00B44A39" w:rsidRPr="00D93C78" w:rsidRDefault="00B44A39" w:rsidP="00D93C78">
      <w:pPr>
        <w:pStyle w:val="BodyText"/>
        <w:rPr>
          <w:szCs w:val="24"/>
        </w:rPr>
      </w:pPr>
      <w:r w:rsidRPr="00D93C78">
        <w:rPr>
          <w:szCs w:val="24"/>
        </w:rPr>
        <w:t>Drottar, K.R. and J.A. Miller (2009b) Dimethylsilanediol (CAS Number 1066-42-8): Acute Toxicity to the Cladoceran (</w:t>
      </w:r>
      <w:r w:rsidRPr="00D93C78">
        <w:rPr>
          <w:i/>
          <w:szCs w:val="24"/>
        </w:rPr>
        <w:t>Daphnia magna</w:t>
      </w:r>
      <w:r w:rsidRPr="00D93C78">
        <w:rPr>
          <w:szCs w:val="24"/>
        </w:rPr>
        <w:t>) Under Static Test Conditions. Dow Corning Corporation Health and Environmental Sciences Report No.  10893-102. Sponsored by Silicones Environmental Health and Safety Council (SEHSC).</w:t>
      </w:r>
    </w:p>
    <w:p w:rsidR="00E343BB" w:rsidRPr="00D93C78" w:rsidRDefault="00E343BB" w:rsidP="00D93C78">
      <w:pPr>
        <w:pStyle w:val="BodyText"/>
        <w:rPr>
          <w:szCs w:val="24"/>
        </w:rPr>
      </w:pPr>
      <w:r w:rsidRPr="00D93C78">
        <w:rPr>
          <w:szCs w:val="24"/>
        </w:rPr>
        <w:t xml:space="preserve">Dow Corning Corporation (1973) </w:t>
      </w:r>
      <w:r w:rsidR="0097110F" w:rsidRPr="00D93C78">
        <w:rPr>
          <w:szCs w:val="24"/>
        </w:rPr>
        <w:t xml:space="preserve">Report No. </w:t>
      </w:r>
      <w:r w:rsidRPr="00D93C78">
        <w:rPr>
          <w:szCs w:val="24"/>
        </w:rPr>
        <w:t>1973-I0005-0179.</w:t>
      </w:r>
    </w:p>
    <w:p w:rsidR="00D104F7" w:rsidRPr="00D93C78" w:rsidRDefault="00D104F7" w:rsidP="00D93C78">
      <w:pPr>
        <w:pStyle w:val="BodyText"/>
        <w:rPr>
          <w:szCs w:val="24"/>
        </w:rPr>
      </w:pPr>
      <w:r w:rsidRPr="00D93C78">
        <w:rPr>
          <w:szCs w:val="24"/>
        </w:rPr>
        <w:t>Dow Corning Corporation (1985) Genetic Evaluation of Dow Corning Q4-2809 In Bacterial Reverse Mutation Assays Dow Corning Corporation Toxicology dept. 1985-I0005-1376 Dow Corning Dow Corning reference no. TX-85-2050-07. 1985-07-15.</w:t>
      </w:r>
    </w:p>
    <w:p w:rsidR="00FB6D23" w:rsidRPr="00D93C78" w:rsidRDefault="00FB6D23" w:rsidP="00D93C78">
      <w:pPr>
        <w:pStyle w:val="BodyText"/>
        <w:rPr>
          <w:szCs w:val="24"/>
        </w:rPr>
      </w:pPr>
      <w:r w:rsidRPr="00D93C78">
        <w:rPr>
          <w:szCs w:val="24"/>
        </w:rPr>
        <w:t>Dow Corning Corporation (1997) Final Report</w:t>
      </w:r>
      <w:r w:rsidR="00147201" w:rsidRPr="00D93C78">
        <w:rPr>
          <w:szCs w:val="24"/>
        </w:rPr>
        <w:t>.</w:t>
      </w:r>
      <w:r w:rsidRPr="00D93C78">
        <w:rPr>
          <w:szCs w:val="24"/>
        </w:rPr>
        <w:t xml:space="preserve">  Dow Corning Corporation</w:t>
      </w:r>
      <w:r w:rsidR="00147201" w:rsidRPr="00D93C78">
        <w:rPr>
          <w:szCs w:val="24"/>
        </w:rPr>
        <w:t>.</w:t>
      </w:r>
      <w:r w:rsidRPr="00D93C78">
        <w:rPr>
          <w:szCs w:val="24"/>
        </w:rPr>
        <w:t xml:space="preserve">  1997-I0000-44078.</w:t>
      </w:r>
    </w:p>
    <w:p w:rsidR="00204743" w:rsidRPr="00D93C78" w:rsidRDefault="00204743" w:rsidP="00D93C78">
      <w:pPr>
        <w:pStyle w:val="BodyText"/>
        <w:rPr>
          <w:szCs w:val="24"/>
        </w:rPr>
      </w:pPr>
      <w:r w:rsidRPr="00D93C78">
        <w:rPr>
          <w:szCs w:val="24"/>
        </w:rPr>
        <w:t>Dow Corning Corporation (2002) An Acute Whole-Body Inhalation Toxicity Study of Methylvinyldichlorosilane in Fischer 344 Rats Dow Corning Corporation Dow Corning Corporation, Health and Environmental Sciences, 2200 W. Salzburg Rd., Midland, Michigan 48686-0994 2000-I0000-49526 SEHSC 9037 2001-01-15.</w:t>
      </w:r>
    </w:p>
    <w:p w:rsidR="00BA60AC" w:rsidRPr="00D93C78" w:rsidRDefault="00BA60AC" w:rsidP="00D93C78">
      <w:pPr>
        <w:pStyle w:val="BodyText"/>
        <w:rPr>
          <w:szCs w:val="24"/>
          <w:highlight w:val="lightGray"/>
        </w:rPr>
      </w:pPr>
      <w:r w:rsidRPr="00D93C78">
        <w:rPr>
          <w:szCs w:val="24"/>
        </w:rPr>
        <w:t xml:space="preserve">Haas H (1983) Communication to Dept. E HRN. Dr K Mautner Zenrale Chemiche Analytik Wacker Chemi GmbH, Burghausen M74460 1983-11-15. </w:t>
      </w:r>
      <w:r w:rsidRPr="00D93C78">
        <w:rPr>
          <w:szCs w:val="24"/>
          <w:highlight w:val="lightGray"/>
        </w:rPr>
        <w:t xml:space="preserve"> </w:t>
      </w:r>
    </w:p>
    <w:p w:rsidR="00453456" w:rsidRPr="00D93C78" w:rsidRDefault="00453456" w:rsidP="00D93C78">
      <w:pPr>
        <w:pStyle w:val="BodyText"/>
        <w:rPr>
          <w:szCs w:val="24"/>
        </w:rPr>
      </w:pPr>
      <w:r w:rsidRPr="00D93C78">
        <w:rPr>
          <w:szCs w:val="24"/>
        </w:rPr>
        <w:t>Harbell J W (1991) Mouse lymphoma assay (L5178Y TK +/-) National Cancer Institute. Test article code #34053 (#263) Microbiological Associates, Inc. National Cancer Institute contract No. N01-CP-05620 ML-NCI # 263 1991-03-22.</w:t>
      </w:r>
    </w:p>
    <w:p w:rsidR="00C1433D" w:rsidRPr="00D93C78" w:rsidRDefault="00C1433D" w:rsidP="00D93C78">
      <w:pPr>
        <w:pStyle w:val="BodyText"/>
        <w:rPr>
          <w:szCs w:val="24"/>
        </w:rPr>
      </w:pPr>
      <w:r w:rsidRPr="00D93C78">
        <w:rPr>
          <w:szCs w:val="24"/>
        </w:rPr>
        <w:t>Guerrero, T. (201</w:t>
      </w:r>
      <w:r w:rsidR="008C22FD" w:rsidRPr="00D93C78">
        <w:rPr>
          <w:szCs w:val="24"/>
        </w:rPr>
        <w:t>1</w:t>
      </w:r>
      <w:r w:rsidRPr="00D93C78">
        <w:rPr>
          <w:szCs w:val="24"/>
        </w:rPr>
        <w:t>) Senior SEHSC Scientific Programs Manager. Correspondence with SEHSC member companies.</w:t>
      </w:r>
    </w:p>
    <w:p w:rsidR="00F0220E" w:rsidRPr="00D93C78" w:rsidRDefault="00F0220E" w:rsidP="00D93C78">
      <w:pPr>
        <w:pStyle w:val="BodyText"/>
        <w:rPr>
          <w:szCs w:val="24"/>
        </w:rPr>
      </w:pPr>
      <w:r w:rsidRPr="00D93C78">
        <w:rPr>
          <w:szCs w:val="24"/>
        </w:rPr>
        <w:t>Guerrero, T. (2012) Senior SEHSC Scientific Programs Manager. Correspondence with SEHSC member companies.</w:t>
      </w:r>
    </w:p>
    <w:p w:rsidR="00B44A39" w:rsidRPr="00D93C78" w:rsidRDefault="00B44A39" w:rsidP="00D93C78">
      <w:pPr>
        <w:pStyle w:val="BodyText"/>
        <w:rPr>
          <w:szCs w:val="24"/>
        </w:rPr>
      </w:pPr>
      <w:r w:rsidRPr="00D93C78">
        <w:rPr>
          <w:szCs w:val="24"/>
        </w:rPr>
        <w:t xml:space="preserve">Jezowski, R.L. (2008) Dimethylsilanediol (CAS Number 1066-42-8): Freshwater Alga, </w:t>
      </w:r>
      <w:r w:rsidRPr="00D93C78">
        <w:rPr>
          <w:i/>
          <w:szCs w:val="24"/>
        </w:rPr>
        <w:t>Pseudokirchneriella subcapitata</w:t>
      </w:r>
      <w:r w:rsidRPr="00D93C78">
        <w:rPr>
          <w:szCs w:val="24"/>
        </w:rPr>
        <w:t>, Growth Inhibition Test. Dow Corning Corporation Health and Environmental Sciences Report no.  10971-102. Sponsored by Silicones Environmental Health and Safety Council (SEHSC).</w:t>
      </w:r>
    </w:p>
    <w:p w:rsidR="002D4BDB" w:rsidRPr="00D93C78" w:rsidRDefault="002D4BDB" w:rsidP="00D93C78">
      <w:pPr>
        <w:pStyle w:val="BodyText"/>
        <w:rPr>
          <w:szCs w:val="24"/>
        </w:rPr>
      </w:pPr>
      <w:r w:rsidRPr="00D93C78">
        <w:rPr>
          <w:szCs w:val="24"/>
        </w:rPr>
        <w:t xml:space="preserve">Kolesar, GB, Dochterman, LW, Mudgett, SL, Macomber, M, Tobin, JM (1997) Final Report.     Dow Corning Corporation  1997-I0000-44078.  SEHSC 1997-12-31.  </w:t>
      </w:r>
    </w:p>
    <w:p w:rsidR="00100929" w:rsidRPr="00D93C78" w:rsidRDefault="00100929" w:rsidP="00D93C78">
      <w:pPr>
        <w:pStyle w:val="BodyText"/>
        <w:rPr>
          <w:szCs w:val="24"/>
        </w:rPr>
      </w:pPr>
      <w:r w:rsidRPr="00D93C78">
        <w:rPr>
          <w:szCs w:val="24"/>
        </w:rPr>
        <w:t xml:space="preserve">Lide, D.R., ed.  (1994)  Chemical Rubber Company (CRC) Handbook of Chemistry and Physics, 75th ed.  CRC Press, Boca Raton, FL.  </w:t>
      </w:r>
    </w:p>
    <w:p w:rsidR="00BE795C" w:rsidRPr="00D93C78" w:rsidRDefault="00BE795C" w:rsidP="00D93C78">
      <w:pPr>
        <w:pStyle w:val="BodyText"/>
        <w:rPr>
          <w:szCs w:val="24"/>
        </w:rPr>
      </w:pPr>
      <w:r w:rsidRPr="00D93C78">
        <w:rPr>
          <w:szCs w:val="24"/>
        </w:rPr>
        <w:t xml:space="preserve">Mellon Institute (1948) Special Report on the Acute Toxicity of Vinyltrichlorosilane. Mellon Institute of Industrial Research, University of Pittsburgh, PA  11-171.  1948-11-18.  </w:t>
      </w:r>
    </w:p>
    <w:p w:rsidR="00904E0A" w:rsidRPr="00D93C78" w:rsidRDefault="00904E0A" w:rsidP="00D93C78">
      <w:pPr>
        <w:pStyle w:val="BodyText"/>
        <w:rPr>
          <w:szCs w:val="24"/>
        </w:rPr>
      </w:pPr>
      <w:r w:rsidRPr="00D93C78">
        <w:rPr>
          <w:szCs w:val="24"/>
        </w:rPr>
        <w:t>Miller, J. A.; Kozerski, G. E. (2001) "Hydrolysis Screening Studies of HPV Chlorosilanes"; final report submitted to the Silicones Environmental, Health and Safety Council of North America (SEHSC); Dow Corning Corporation Technical Report No. 2001-I0000-50823.</w:t>
      </w:r>
    </w:p>
    <w:p w:rsidR="004E5D96" w:rsidRPr="00D93C78" w:rsidRDefault="004E5D96" w:rsidP="00D93C78">
      <w:pPr>
        <w:pStyle w:val="BodyText"/>
        <w:rPr>
          <w:szCs w:val="24"/>
          <w:lang w:val="en-US"/>
        </w:rPr>
      </w:pPr>
      <w:r w:rsidRPr="00D93C78">
        <w:rPr>
          <w:szCs w:val="24"/>
          <w:lang w:val="en-US"/>
        </w:rPr>
        <w:t>Morris, A. (2010) Dichloro(methyl)(vinyl)silane: CHROMOSOME ABERRATION TEST IN HUMAN LYMPHOCYTES IN VITRO. Harlan Laboratories Ltd Shardlow Business Park Shardlow Derbyshire DE72 2GD UK Reconsile PROJECT NUMBER: 2697/0004.</w:t>
      </w:r>
    </w:p>
    <w:p w:rsidR="00B95895" w:rsidRPr="00D93C78" w:rsidRDefault="00B95895" w:rsidP="00D93C78">
      <w:pPr>
        <w:pStyle w:val="BodyText"/>
        <w:rPr>
          <w:szCs w:val="24"/>
          <w:lang w:val="en-US"/>
        </w:rPr>
      </w:pPr>
      <w:r w:rsidRPr="00D93C78">
        <w:rPr>
          <w:szCs w:val="24"/>
          <w:lang w:val="fr-FR"/>
        </w:rPr>
        <w:t xml:space="preserve">Nachreiner, DJ and Dodd, DE.  </w:t>
      </w:r>
      <w:r w:rsidRPr="00D93C78">
        <w:rPr>
          <w:szCs w:val="24"/>
          <w:lang w:val="en-US"/>
        </w:rPr>
        <w:t xml:space="preserve">(1988)  Vinyltrichlorosilane (A-150): Acute Vapor Inhalation Toxicity Test in Rats. Bushy Run Research Center 50-165.  Momentive  1998-03-24.  </w:t>
      </w:r>
    </w:p>
    <w:p w:rsidR="00AE0776" w:rsidRPr="00D93C78" w:rsidRDefault="00AE0776" w:rsidP="00D93C78">
      <w:pPr>
        <w:pStyle w:val="BodyText"/>
        <w:rPr>
          <w:szCs w:val="24"/>
          <w:lang w:val="en-US"/>
        </w:rPr>
      </w:pPr>
      <w:r w:rsidRPr="00D93C78">
        <w:rPr>
          <w:szCs w:val="24"/>
          <w:lang w:val="en-US"/>
        </w:rPr>
        <w:t>Noll, W.  (1968)  Chemistry and Technology of Silicones.  Academic Press, New York and London.  pp. 94-95, 208-219.</w:t>
      </w:r>
    </w:p>
    <w:p w:rsidR="00BA60AC" w:rsidRPr="00D93C78" w:rsidRDefault="00BA60AC" w:rsidP="00D93C78">
      <w:pPr>
        <w:pStyle w:val="BodyText"/>
        <w:rPr>
          <w:szCs w:val="24"/>
        </w:rPr>
      </w:pPr>
      <w:r w:rsidRPr="00D93C78">
        <w:rPr>
          <w:szCs w:val="24"/>
        </w:rPr>
        <w:t>Peter Fisk Associates (2009a) QMRF for QSAR model for the prediction of the density of organosillicon compounds QSAR Model Reporting Format (Version 1.2): Adaption of EPIWIN for the prediction of the densities of chlorosilanes compounds.</w:t>
      </w:r>
    </w:p>
    <w:p w:rsidR="00BA60AC" w:rsidRPr="00D93C78" w:rsidRDefault="00BA60AC" w:rsidP="00D93C78">
      <w:pPr>
        <w:pStyle w:val="BodyText"/>
        <w:rPr>
          <w:szCs w:val="24"/>
        </w:rPr>
      </w:pPr>
      <w:r w:rsidRPr="00D93C78">
        <w:rPr>
          <w:szCs w:val="24"/>
        </w:rPr>
        <w:t xml:space="preserve">Peter Fisk Associates (2009b) QPRF for Dichloro(methyl)(vinyl)silane using the QSAR model for the prediction of the density of chlorosilanes compounds QPRF for Dichloro(methyl)(vinyl)silane. </w:t>
      </w:r>
    </w:p>
    <w:p w:rsidR="004E5D96" w:rsidRPr="00D93C78" w:rsidRDefault="004E5D96" w:rsidP="00D93C78">
      <w:pPr>
        <w:pStyle w:val="BodyText"/>
        <w:rPr>
          <w:szCs w:val="24"/>
        </w:rPr>
      </w:pPr>
      <w:r w:rsidRPr="00D93C78">
        <w:rPr>
          <w:szCs w:val="24"/>
        </w:rPr>
        <w:t>San, Richard H.C. Ph.D. and J. Blair Shelton, B.S. (1990) Salmonella/Mammalian-Microsome Plate Incorporation Mutagenicity Assay (Ames Test). Microbiological Associates, Inc, 9900 Blackwell Road, Rockville, MD 20850 USA C157.501017 1990-07-19.</w:t>
      </w:r>
    </w:p>
    <w:p w:rsidR="00C7176D" w:rsidRPr="00D93C78" w:rsidRDefault="00C7176D" w:rsidP="00D93C78">
      <w:pPr>
        <w:pStyle w:val="BodyText"/>
        <w:rPr>
          <w:szCs w:val="24"/>
        </w:rPr>
      </w:pPr>
      <w:r w:rsidRPr="00D93C78">
        <w:rPr>
          <w:szCs w:val="24"/>
        </w:rPr>
        <w:t>Shin-Etsu Chemical Co. (2003) Assessment of acute oral toxicity with KA-1012 in the rat (acute toxic class method).  Study conducted at NOTOX B.V, The Netherlands. For Shin-Etsu Chemical Co., Japan.</w:t>
      </w:r>
    </w:p>
    <w:p w:rsidR="008E5851" w:rsidRPr="00D93C78" w:rsidRDefault="008E5851" w:rsidP="00D93C78">
      <w:pPr>
        <w:pStyle w:val="BodyText"/>
        <w:rPr>
          <w:szCs w:val="24"/>
        </w:rPr>
      </w:pPr>
      <w:r w:rsidRPr="00D93C78">
        <w:rPr>
          <w:szCs w:val="24"/>
        </w:rPr>
        <w:t>Shin</w:t>
      </w:r>
      <w:r w:rsidR="00C7176D" w:rsidRPr="00D93C78">
        <w:rPr>
          <w:szCs w:val="24"/>
        </w:rPr>
        <w:t>-</w:t>
      </w:r>
      <w:r w:rsidRPr="00D93C78">
        <w:rPr>
          <w:szCs w:val="24"/>
        </w:rPr>
        <w:t xml:space="preserve">Etsu </w:t>
      </w:r>
      <w:r w:rsidR="00C7176D" w:rsidRPr="00D93C78">
        <w:rPr>
          <w:szCs w:val="24"/>
        </w:rPr>
        <w:t xml:space="preserve">Chemical Co. </w:t>
      </w:r>
      <w:r w:rsidRPr="00D93C78">
        <w:rPr>
          <w:szCs w:val="24"/>
        </w:rPr>
        <w:t xml:space="preserve">(2009) Reverse mutation using microorganisms Silane trichloroethenyl. Genetic Laboratory JBS Inc 2078-1 Akahama Yorii-machi Osato-gun Saitama Japan. Shin Etsu 14684  2008-09-09. </w:t>
      </w:r>
    </w:p>
    <w:p w:rsidR="00216CA7" w:rsidRPr="00D93C78" w:rsidRDefault="00216CA7" w:rsidP="00D93C78">
      <w:pPr>
        <w:pStyle w:val="BodyText"/>
        <w:rPr>
          <w:szCs w:val="24"/>
        </w:rPr>
      </w:pPr>
      <w:r w:rsidRPr="00D93C78">
        <w:rPr>
          <w:szCs w:val="24"/>
        </w:rPr>
        <w:t xml:space="preserve">Syracuse Research Corporation of Syracuse, New York (US) (SRC) Physical Properties Database. </w:t>
      </w:r>
    </w:p>
    <w:p w:rsidR="00C1433D" w:rsidRPr="00D93C78" w:rsidRDefault="00AE0776" w:rsidP="00D93C78">
      <w:pPr>
        <w:pStyle w:val="BodyText"/>
        <w:rPr>
          <w:szCs w:val="24"/>
        </w:rPr>
      </w:pPr>
      <w:r w:rsidRPr="00D93C78">
        <w:rPr>
          <w:szCs w:val="24"/>
        </w:rPr>
        <w:t>Tomanek, A.  (1990)  Silicones and Industry.  Hauser, Munich.  pp. 20-23.</w:t>
      </w:r>
    </w:p>
    <w:p w:rsidR="0065196A" w:rsidRPr="00D93C78" w:rsidRDefault="0065196A" w:rsidP="00D93C78">
      <w:pPr>
        <w:pStyle w:val="BodyText"/>
        <w:rPr>
          <w:szCs w:val="24"/>
        </w:rPr>
      </w:pPr>
      <w:r w:rsidRPr="00D93C78">
        <w:rPr>
          <w:szCs w:val="24"/>
        </w:rPr>
        <w:t>USEPA, 2009, EPI (Estimation Programs Interface) Suite™ Software v4.00.</w:t>
      </w:r>
    </w:p>
    <w:p w:rsidR="00CE3C9E" w:rsidRPr="00D93C78" w:rsidRDefault="00CE3C9E" w:rsidP="00D93C78">
      <w:pPr>
        <w:pStyle w:val="BodyText"/>
        <w:rPr>
          <w:szCs w:val="24"/>
        </w:rPr>
      </w:pPr>
      <w:r w:rsidRPr="00D93C78">
        <w:rPr>
          <w:szCs w:val="24"/>
        </w:rPr>
        <w:t xml:space="preserve">USEPA, </w:t>
      </w:r>
      <w:r w:rsidR="00AA42AE" w:rsidRPr="00D93C78">
        <w:rPr>
          <w:szCs w:val="24"/>
        </w:rPr>
        <w:t>2012</w:t>
      </w:r>
      <w:r w:rsidRPr="00D93C78">
        <w:rPr>
          <w:szCs w:val="24"/>
        </w:rPr>
        <w:t xml:space="preserve">, EPI (Estimation Programs Interface) Suite™ Software v4.10, as released January.  </w:t>
      </w:r>
    </w:p>
    <w:p w:rsidR="008E5851" w:rsidRPr="00D93C78" w:rsidRDefault="008E5851" w:rsidP="00D93C78">
      <w:pPr>
        <w:pStyle w:val="BodyText"/>
        <w:rPr>
          <w:szCs w:val="24"/>
        </w:rPr>
      </w:pPr>
      <w:r w:rsidRPr="00D93C78">
        <w:rPr>
          <w:szCs w:val="24"/>
        </w:rPr>
        <w:t xml:space="preserve">Wacker  (2002)  Mutagenicity study of Silan V in the </w:t>
      </w:r>
      <w:r w:rsidRPr="00D93C78">
        <w:rPr>
          <w:i/>
          <w:szCs w:val="24"/>
        </w:rPr>
        <w:t>Salmonella Typhimurium</w:t>
      </w:r>
      <w:r w:rsidRPr="00D93C78">
        <w:rPr>
          <w:szCs w:val="24"/>
        </w:rPr>
        <w:t xml:space="preserve"> Reverse Mutation Assay (In Vitro).   Laboratory of Pharmacology and Toxicology KG  15425/47/02.  Wacker Chemie     2002-09-06.  </w:t>
      </w:r>
    </w:p>
    <w:p w:rsidR="005A6ED7" w:rsidRPr="00D93C78" w:rsidRDefault="005A6ED7" w:rsidP="00D93C78">
      <w:pPr>
        <w:pStyle w:val="BodyText"/>
        <w:rPr>
          <w:szCs w:val="24"/>
        </w:rPr>
      </w:pPr>
      <w:r w:rsidRPr="00D93C78">
        <w:rPr>
          <w:szCs w:val="24"/>
        </w:rPr>
        <w:t xml:space="preserve">White, DF  (2012)  Determination of Vapor Pressure  Harlan Laboratories Ltd. Shardlow Business Park Shardlow Derbyshire DE72 2GD UK.  </w:t>
      </w:r>
    </w:p>
    <w:sectPr w:rsidR="005A6ED7" w:rsidRPr="00D93C78" w:rsidSect="0013109D">
      <w:pgSz w:w="11907" w:h="16840" w:code="9"/>
      <w:pgMar w:top="1418" w:right="1134" w:bottom="1134" w:left="1134" w:header="737" w:footer="73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7209" w:rsidRDefault="002E7209">
      <w:r>
        <w:separator/>
      </w:r>
    </w:p>
  </w:endnote>
  <w:endnote w:type="continuationSeparator" w:id="0">
    <w:p w:rsidR="002E7209" w:rsidRDefault="002E7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7209" w:rsidRDefault="002E7209">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2E7209" w:rsidRDefault="002E7209">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7209" w:rsidRDefault="002E7209">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D22FE6">
      <w:rPr>
        <w:rStyle w:val="PageNumber"/>
      </w:rPr>
      <w:t>16</w:t>
    </w:r>
    <w:r>
      <w:rPr>
        <w:rStyle w:val="PageNumber"/>
      </w:rPr>
      <w:fldChar w:fldCharType="end"/>
    </w:r>
  </w:p>
  <w:p w:rsidR="002E7209" w:rsidRDefault="002E7209">
    <w:pPr>
      <w:pStyle w:val="Footer"/>
      <w:ind w:right="3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7209" w:rsidRDefault="002E7209">
      <w:r>
        <w:separator/>
      </w:r>
    </w:p>
  </w:footnote>
  <w:footnote w:type="continuationSeparator" w:id="0">
    <w:p w:rsidR="002E7209" w:rsidRDefault="002E72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7209" w:rsidRDefault="002E7209">
    <w:bookmarkStart w:id="2" w:name="aliashBlankHTML1HeaderEvenPages"/>
  </w:p>
  <w:bookmarkEnd w:id="2"/>
  <w:p w:rsidR="002E7209" w:rsidRDefault="002E720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7209" w:rsidRDefault="002E7209">
    <w:pPr>
      <w:pStyle w:val="Header"/>
    </w:pPr>
    <w:r>
      <w:t xml:space="preserve">oecd sids             </w:t>
    </w:r>
    <w:r>
      <w:tab/>
      <w:t xml:space="preserve">                                                         vinyl chlorosilanes category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7209" w:rsidRDefault="002E7209">
    <w:bookmarkStart w:id="3" w:name="aliashBlankHTML1HeaderFirstPage"/>
  </w:p>
  <w:bookmarkEnd w:id="3"/>
  <w:p w:rsidR="002E7209" w:rsidRDefault="002E72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66AB7"/>
    <w:multiLevelType w:val="hybridMultilevel"/>
    <w:tmpl w:val="9948D532"/>
    <w:lvl w:ilvl="0" w:tplc="AEF69B60">
      <w:start w:val="1"/>
      <w:numFmt w:val="decimal"/>
      <w:pStyle w:val="ListNumb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13AD7ED3"/>
    <w:multiLevelType w:val="hybridMultilevel"/>
    <w:tmpl w:val="5E36D17A"/>
    <w:lvl w:ilvl="0" w:tplc="C84E037E">
      <w:start w:val="1"/>
      <w:numFmt w:val="bullet"/>
      <w:pStyle w:val="ListBullet"/>
      <w:lvlText w:val=""/>
      <w:lvlJc w:val="left"/>
      <w:pPr>
        <w:tabs>
          <w:tab w:val="num" w:pos="425"/>
        </w:tabs>
        <w:ind w:left="425" w:hanging="425"/>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9ED608F"/>
    <w:multiLevelType w:val="multilevel"/>
    <w:tmpl w:val="3C9236FE"/>
    <w:lvl w:ilvl="0">
      <w:start w:val="1"/>
      <w:numFmt w:val="decimal"/>
      <w:lvlText w:val="%1"/>
      <w:lvlJc w:val="left"/>
      <w:pPr>
        <w:tabs>
          <w:tab w:val="num" w:pos="1077"/>
        </w:tabs>
        <w:ind w:left="1077" w:hanging="1077"/>
      </w:pPr>
      <w:rPr>
        <w:rFonts w:ascii="Times New Roman" w:hAnsi="Times New Roman" w:cs="Times New Roman" w:hint="default"/>
        <w:b/>
        <w:i w:val="0"/>
        <w:sz w:val="28"/>
      </w:rPr>
    </w:lvl>
    <w:lvl w:ilvl="1">
      <w:start w:val="1"/>
      <w:numFmt w:val="decimal"/>
      <w:lvlText w:val="%1.%2"/>
      <w:lvlJc w:val="left"/>
      <w:pPr>
        <w:tabs>
          <w:tab w:val="num" w:pos="1077"/>
        </w:tabs>
        <w:ind w:left="1077" w:hanging="1077"/>
      </w:pPr>
      <w:rPr>
        <w:rFonts w:ascii="Times New Roman" w:hAnsi="Times New Roman" w:cs="Times New Roman" w:hint="default"/>
        <w:b/>
        <w:i w:val="0"/>
        <w:sz w:val="24"/>
      </w:rPr>
    </w:lvl>
    <w:lvl w:ilvl="2">
      <w:start w:val="1"/>
      <w:numFmt w:val="decimal"/>
      <w:lvlText w:val="%1.%2.%3"/>
      <w:lvlJc w:val="left"/>
      <w:pPr>
        <w:tabs>
          <w:tab w:val="num" w:pos="1077"/>
        </w:tabs>
        <w:ind w:left="1077" w:hanging="1077"/>
      </w:pPr>
      <w:rPr>
        <w:rFonts w:ascii="Times New Roman" w:hAnsi="Times New Roman" w:cs="Times New Roman" w:hint="default"/>
        <w:b/>
        <w:i w:val="0"/>
        <w:sz w:val="24"/>
      </w:rPr>
    </w:lvl>
    <w:lvl w:ilvl="3">
      <w:start w:val="1"/>
      <w:numFmt w:val="decimal"/>
      <w:lvlText w:val="%1.%2.%3.%4"/>
      <w:lvlJc w:val="left"/>
      <w:pPr>
        <w:tabs>
          <w:tab w:val="num" w:pos="1077"/>
        </w:tabs>
        <w:ind w:left="1077" w:hanging="1077"/>
      </w:pPr>
      <w:rPr>
        <w:rFonts w:ascii="Times New Roman" w:hAnsi="Times New Roman" w:cs="Times New Roman" w:hint="default"/>
        <w:b/>
        <w:i w:val="0"/>
        <w:sz w:val="24"/>
      </w:rPr>
    </w:lvl>
    <w:lvl w:ilvl="4">
      <w:start w:val="1"/>
      <w:numFmt w:val="decimal"/>
      <w:lvlText w:val="%1.%2.%3.%4.%5"/>
      <w:lvlJc w:val="left"/>
      <w:pPr>
        <w:tabs>
          <w:tab w:val="num" w:pos="1843"/>
        </w:tabs>
        <w:ind w:left="1843" w:hanging="1843"/>
      </w:pPr>
      <w:rPr>
        <w:rFonts w:ascii="Times New Roman" w:hAnsi="Times New Roman" w:cs="Times New Roman" w:hint="default"/>
        <w:b/>
        <w:i w:val="0"/>
        <w:sz w:val="24"/>
      </w:rPr>
    </w:lvl>
    <w:lvl w:ilvl="5">
      <w:start w:val="1"/>
      <w:numFmt w:val="none"/>
      <w:lvlText w:val="%1.%2.%3.%4.%5.%61."/>
      <w:lvlJc w:val="left"/>
      <w:pPr>
        <w:tabs>
          <w:tab w:val="num" w:pos="1843"/>
        </w:tabs>
        <w:ind w:left="1843" w:hanging="1843"/>
      </w:pPr>
      <w:rPr>
        <w:rFonts w:cs="Times New Roman" w:hint="default"/>
        <w:b/>
        <w:i w:val="0"/>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2A88671F"/>
    <w:multiLevelType w:val="hybridMultilevel"/>
    <w:tmpl w:val="C75474EC"/>
    <w:lvl w:ilvl="0" w:tplc="C1DCBEB4">
      <w:start w:val="1"/>
      <w:numFmt w:val="lowerLetter"/>
      <w:pStyle w:val="Listalpha"/>
      <w:lvlText w:val="%1."/>
      <w:lvlJc w:val="left"/>
      <w:pPr>
        <w:tabs>
          <w:tab w:val="num" w:pos="360"/>
        </w:tabs>
        <w:ind w:left="360" w:hanging="360"/>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4F9373D0"/>
    <w:multiLevelType w:val="hybridMultilevel"/>
    <w:tmpl w:val="29A88E5E"/>
    <w:lvl w:ilvl="0" w:tplc="CF0ED6C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0380750"/>
    <w:multiLevelType w:val="hybridMultilevel"/>
    <w:tmpl w:val="8A58F244"/>
    <w:lvl w:ilvl="0" w:tplc="D8F864C6">
      <w:start w:val="1"/>
      <w:numFmt w:val="bullet"/>
      <w:lvlText w:val="•"/>
      <w:lvlJc w:val="left"/>
      <w:pPr>
        <w:ind w:left="72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num>
  <w:num w:numId="2">
    <w:abstractNumId w:val="3"/>
  </w:num>
  <w:num w:numId="3">
    <w:abstractNumId w:val="0"/>
  </w:num>
  <w:num w:numId="4">
    <w:abstractNumId w:val="2"/>
  </w:num>
  <w:num w:numId="5">
    <w:abstractNumId w:val="2"/>
    <w:lvlOverride w:ilvl="0">
      <w:startOverride w:val="1"/>
    </w:lvlOverride>
  </w:num>
  <w:num w:numId="6">
    <w:abstractNumId w:val="4"/>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4B1F"/>
    <w:rsid w:val="00002125"/>
    <w:rsid w:val="000022B6"/>
    <w:rsid w:val="00003D51"/>
    <w:rsid w:val="00004A92"/>
    <w:rsid w:val="00004EFF"/>
    <w:rsid w:val="0000633A"/>
    <w:rsid w:val="00006976"/>
    <w:rsid w:val="00010597"/>
    <w:rsid w:val="00012436"/>
    <w:rsid w:val="00013777"/>
    <w:rsid w:val="00013949"/>
    <w:rsid w:val="00014328"/>
    <w:rsid w:val="000147CF"/>
    <w:rsid w:val="00020900"/>
    <w:rsid w:val="0002285F"/>
    <w:rsid w:val="00023815"/>
    <w:rsid w:val="00024AD6"/>
    <w:rsid w:val="000261E0"/>
    <w:rsid w:val="000274A1"/>
    <w:rsid w:val="00027A8D"/>
    <w:rsid w:val="00027E01"/>
    <w:rsid w:val="00033353"/>
    <w:rsid w:val="000347A3"/>
    <w:rsid w:val="00034A97"/>
    <w:rsid w:val="0003696D"/>
    <w:rsid w:val="00037135"/>
    <w:rsid w:val="0003787C"/>
    <w:rsid w:val="00037B87"/>
    <w:rsid w:val="000400F9"/>
    <w:rsid w:val="00041063"/>
    <w:rsid w:val="0004159A"/>
    <w:rsid w:val="00042C45"/>
    <w:rsid w:val="00042E27"/>
    <w:rsid w:val="0004346E"/>
    <w:rsid w:val="00045BBF"/>
    <w:rsid w:val="00046E7F"/>
    <w:rsid w:val="000501E5"/>
    <w:rsid w:val="00050796"/>
    <w:rsid w:val="000509BC"/>
    <w:rsid w:val="000530C9"/>
    <w:rsid w:val="00053A09"/>
    <w:rsid w:val="000546A5"/>
    <w:rsid w:val="00056707"/>
    <w:rsid w:val="00057D57"/>
    <w:rsid w:val="00060933"/>
    <w:rsid w:val="00061F0D"/>
    <w:rsid w:val="00064FA6"/>
    <w:rsid w:val="000654E9"/>
    <w:rsid w:val="00066DDE"/>
    <w:rsid w:val="00070966"/>
    <w:rsid w:val="00073E55"/>
    <w:rsid w:val="00073EAC"/>
    <w:rsid w:val="00074612"/>
    <w:rsid w:val="000747C1"/>
    <w:rsid w:val="00074836"/>
    <w:rsid w:val="0007605A"/>
    <w:rsid w:val="0008008F"/>
    <w:rsid w:val="00081790"/>
    <w:rsid w:val="00085A53"/>
    <w:rsid w:val="00086962"/>
    <w:rsid w:val="00086B26"/>
    <w:rsid w:val="00086B73"/>
    <w:rsid w:val="00087B86"/>
    <w:rsid w:val="00093723"/>
    <w:rsid w:val="0009376D"/>
    <w:rsid w:val="000954BA"/>
    <w:rsid w:val="00095BE2"/>
    <w:rsid w:val="00095F38"/>
    <w:rsid w:val="00096A8F"/>
    <w:rsid w:val="000974FE"/>
    <w:rsid w:val="000976F2"/>
    <w:rsid w:val="000979C1"/>
    <w:rsid w:val="000A0B61"/>
    <w:rsid w:val="000A1E84"/>
    <w:rsid w:val="000A2ABE"/>
    <w:rsid w:val="000A409E"/>
    <w:rsid w:val="000A4DC6"/>
    <w:rsid w:val="000A532B"/>
    <w:rsid w:val="000A7209"/>
    <w:rsid w:val="000B0B7D"/>
    <w:rsid w:val="000B1229"/>
    <w:rsid w:val="000B3ECC"/>
    <w:rsid w:val="000B4BE9"/>
    <w:rsid w:val="000B5974"/>
    <w:rsid w:val="000C00AE"/>
    <w:rsid w:val="000C13FC"/>
    <w:rsid w:val="000C1F93"/>
    <w:rsid w:val="000C24B7"/>
    <w:rsid w:val="000C2ED1"/>
    <w:rsid w:val="000C3B94"/>
    <w:rsid w:val="000C3D5E"/>
    <w:rsid w:val="000C4C9C"/>
    <w:rsid w:val="000C4D2C"/>
    <w:rsid w:val="000C4D77"/>
    <w:rsid w:val="000C5D6E"/>
    <w:rsid w:val="000C6F58"/>
    <w:rsid w:val="000C7AC3"/>
    <w:rsid w:val="000C7C70"/>
    <w:rsid w:val="000D0E75"/>
    <w:rsid w:val="000D1396"/>
    <w:rsid w:val="000D1FA5"/>
    <w:rsid w:val="000D2326"/>
    <w:rsid w:val="000D3BD2"/>
    <w:rsid w:val="000D4246"/>
    <w:rsid w:val="000D4BA4"/>
    <w:rsid w:val="000D4F71"/>
    <w:rsid w:val="000D76F7"/>
    <w:rsid w:val="000E064D"/>
    <w:rsid w:val="000E19D4"/>
    <w:rsid w:val="000E251D"/>
    <w:rsid w:val="000E2EE5"/>
    <w:rsid w:val="000E2F3D"/>
    <w:rsid w:val="000E396D"/>
    <w:rsid w:val="000E5088"/>
    <w:rsid w:val="000E7519"/>
    <w:rsid w:val="000F016E"/>
    <w:rsid w:val="000F23A6"/>
    <w:rsid w:val="000F320F"/>
    <w:rsid w:val="000F3487"/>
    <w:rsid w:val="000F44FC"/>
    <w:rsid w:val="000F682F"/>
    <w:rsid w:val="000F71B7"/>
    <w:rsid w:val="000F71B9"/>
    <w:rsid w:val="001005BF"/>
    <w:rsid w:val="00100929"/>
    <w:rsid w:val="00100D7E"/>
    <w:rsid w:val="001014ED"/>
    <w:rsid w:val="00101FDE"/>
    <w:rsid w:val="00102F48"/>
    <w:rsid w:val="001037E5"/>
    <w:rsid w:val="001061EF"/>
    <w:rsid w:val="0010749D"/>
    <w:rsid w:val="001102F4"/>
    <w:rsid w:val="00110751"/>
    <w:rsid w:val="0011178E"/>
    <w:rsid w:val="00113A0C"/>
    <w:rsid w:val="00116617"/>
    <w:rsid w:val="0011696A"/>
    <w:rsid w:val="00121323"/>
    <w:rsid w:val="00124D9E"/>
    <w:rsid w:val="0013109D"/>
    <w:rsid w:val="00131755"/>
    <w:rsid w:val="00132051"/>
    <w:rsid w:val="001320AA"/>
    <w:rsid w:val="00132727"/>
    <w:rsid w:val="00133681"/>
    <w:rsid w:val="001336EC"/>
    <w:rsid w:val="00133EE7"/>
    <w:rsid w:val="001340B2"/>
    <w:rsid w:val="001347D1"/>
    <w:rsid w:val="00134A02"/>
    <w:rsid w:val="001351D5"/>
    <w:rsid w:val="001368CE"/>
    <w:rsid w:val="00136A64"/>
    <w:rsid w:val="00136E08"/>
    <w:rsid w:val="00137EC1"/>
    <w:rsid w:val="001411C8"/>
    <w:rsid w:val="00141EC5"/>
    <w:rsid w:val="00142326"/>
    <w:rsid w:val="00142FDA"/>
    <w:rsid w:val="001446DA"/>
    <w:rsid w:val="00144987"/>
    <w:rsid w:val="001454C0"/>
    <w:rsid w:val="00145E51"/>
    <w:rsid w:val="00147201"/>
    <w:rsid w:val="00151DFE"/>
    <w:rsid w:val="00153031"/>
    <w:rsid w:val="001537A1"/>
    <w:rsid w:val="00153CFF"/>
    <w:rsid w:val="001568E7"/>
    <w:rsid w:val="0016065D"/>
    <w:rsid w:val="00162A0A"/>
    <w:rsid w:val="00162E89"/>
    <w:rsid w:val="00162FD2"/>
    <w:rsid w:val="00165555"/>
    <w:rsid w:val="001660ED"/>
    <w:rsid w:val="00171947"/>
    <w:rsid w:val="00172771"/>
    <w:rsid w:val="001746D7"/>
    <w:rsid w:val="0017492C"/>
    <w:rsid w:val="00174D6B"/>
    <w:rsid w:val="00176122"/>
    <w:rsid w:val="00176919"/>
    <w:rsid w:val="00180E94"/>
    <w:rsid w:val="00181E9A"/>
    <w:rsid w:val="001833EB"/>
    <w:rsid w:val="001839C2"/>
    <w:rsid w:val="001843D1"/>
    <w:rsid w:val="00185A90"/>
    <w:rsid w:val="00186078"/>
    <w:rsid w:val="00186524"/>
    <w:rsid w:val="00186C9A"/>
    <w:rsid w:val="00187BFA"/>
    <w:rsid w:val="001912AE"/>
    <w:rsid w:val="00192C4F"/>
    <w:rsid w:val="00193CC0"/>
    <w:rsid w:val="0019505B"/>
    <w:rsid w:val="0019557D"/>
    <w:rsid w:val="00195C8C"/>
    <w:rsid w:val="001A01ED"/>
    <w:rsid w:val="001A08B9"/>
    <w:rsid w:val="001A259E"/>
    <w:rsid w:val="001A2ECD"/>
    <w:rsid w:val="001A5C44"/>
    <w:rsid w:val="001A5DD6"/>
    <w:rsid w:val="001B122C"/>
    <w:rsid w:val="001B20DF"/>
    <w:rsid w:val="001B2B0A"/>
    <w:rsid w:val="001B2DB6"/>
    <w:rsid w:val="001B5194"/>
    <w:rsid w:val="001B5E22"/>
    <w:rsid w:val="001B627C"/>
    <w:rsid w:val="001B763B"/>
    <w:rsid w:val="001B79C3"/>
    <w:rsid w:val="001B7AF7"/>
    <w:rsid w:val="001C0D1F"/>
    <w:rsid w:val="001C1574"/>
    <w:rsid w:val="001C1F71"/>
    <w:rsid w:val="001C2F15"/>
    <w:rsid w:val="001C3332"/>
    <w:rsid w:val="001C4E2E"/>
    <w:rsid w:val="001C4EDB"/>
    <w:rsid w:val="001C5231"/>
    <w:rsid w:val="001D01D4"/>
    <w:rsid w:val="001D0BC5"/>
    <w:rsid w:val="001D0C1E"/>
    <w:rsid w:val="001D0FC6"/>
    <w:rsid w:val="001D16E7"/>
    <w:rsid w:val="001D1CDC"/>
    <w:rsid w:val="001D1D59"/>
    <w:rsid w:val="001D1D5A"/>
    <w:rsid w:val="001D1DF4"/>
    <w:rsid w:val="001D271C"/>
    <w:rsid w:val="001D42D3"/>
    <w:rsid w:val="001D44EC"/>
    <w:rsid w:val="001D499A"/>
    <w:rsid w:val="001D505F"/>
    <w:rsid w:val="001D5773"/>
    <w:rsid w:val="001D666A"/>
    <w:rsid w:val="001D7D3F"/>
    <w:rsid w:val="001D7FB7"/>
    <w:rsid w:val="001E00BF"/>
    <w:rsid w:val="001E30EA"/>
    <w:rsid w:val="001E3250"/>
    <w:rsid w:val="001E5EA9"/>
    <w:rsid w:val="001E7920"/>
    <w:rsid w:val="001E7AA5"/>
    <w:rsid w:val="001F084C"/>
    <w:rsid w:val="001F0B5B"/>
    <w:rsid w:val="001F177B"/>
    <w:rsid w:val="001F2A70"/>
    <w:rsid w:val="001F610B"/>
    <w:rsid w:val="001F6523"/>
    <w:rsid w:val="001F6AE6"/>
    <w:rsid w:val="001F769B"/>
    <w:rsid w:val="001F78AE"/>
    <w:rsid w:val="0020042C"/>
    <w:rsid w:val="002006BD"/>
    <w:rsid w:val="00200E87"/>
    <w:rsid w:val="00203329"/>
    <w:rsid w:val="00204743"/>
    <w:rsid w:val="00204F91"/>
    <w:rsid w:val="002050D5"/>
    <w:rsid w:val="00205FD7"/>
    <w:rsid w:val="00206140"/>
    <w:rsid w:val="0021019A"/>
    <w:rsid w:val="00213442"/>
    <w:rsid w:val="00213E8E"/>
    <w:rsid w:val="00214553"/>
    <w:rsid w:val="002147B0"/>
    <w:rsid w:val="002152B6"/>
    <w:rsid w:val="00216622"/>
    <w:rsid w:val="00216CA7"/>
    <w:rsid w:val="002172BB"/>
    <w:rsid w:val="00220208"/>
    <w:rsid w:val="00222132"/>
    <w:rsid w:val="00223577"/>
    <w:rsid w:val="00223BB0"/>
    <w:rsid w:val="0022612C"/>
    <w:rsid w:val="00227292"/>
    <w:rsid w:val="00230022"/>
    <w:rsid w:val="00230FE4"/>
    <w:rsid w:val="00232B35"/>
    <w:rsid w:val="00233210"/>
    <w:rsid w:val="00234673"/>
    <w:rsid w:val="00235147"/>
    <w:rsid w:val="00236554"/>
    <w:rsid w:val="0024060A"/>
    <w:rsid w:val="00240754"/>
    <w:rsid w:val="00240F83"/>
    <w:rsid w:val="00245456"/>
    <w:rsid w:val="00245E67"/>
    <w:rsid w:val="002500E3"/>
    <w:rsid w:val="0025067D"/>
    <w:rsid w:val="00250FD0"/>
    <w:rsid w:val="00251F6A"/>
    <w:rsid w:val="002548AF"/>
    <w:rsid w:val="00254C80"/>
    <w:rsid w:val="002565EE"/>
    <w:rsid w:val="00256744"/>
    <w:rsid w:val="00257857"/>
    <w:rsid w:val="00260646"/>
    <w:rsid w:val="002624FB"/>
    <w:rsid w:val="00263787"/>
    <w:rsid w:val="00265741"/>
    <w:rsid w:val="002657CC"/>
    <w:rsid w:val="00265DE8"/>
    <w:rsid w:val="00265E82"/>
    <w:rsid w:val="00266B0D"/>
    <w:rsid w:val="00266B55"/>
    <w:rsid w:val="002715A5"/>
    <w:rsid w:val="00271648"/>
    <w:rsid w:val="00271BC4"/>
    <w:rsid w:val="002731AE"/>
    <w:rsid w:val="00273284"/>
    <w:rsid w:val="002749D0"/>
    <w:rsid w:val="002765CD"/>
    <w:rsid w:val="00276B1D"/>
    <w:rsid w:val="00277DB7"/>
    <w:rsid w:val="0028011A"/>
    <w:rsid w:val="0028255F"/>
    <w:rsid w:val="00283A27"/>
    <w:rsid w:val="00284755"/>
    <w:rsid w:val="00284B71"/>
    <w:rsid w:val="00286B77"/>
    <w:rsid w:val="0029075F"/>
    <w:rsid w:val="0029092F"/>
    <w:rsid w:val="00291519"/>
    <w:rsid w:val="00291686"/>
    <w:rsid w:val="00291CA8"/>
    <w:rsid w:val="00291F33"/>
    <w:rsid w:val="00293CA5"/>
    <w:rsid w:val="00295FA6"/>
    <w:rsid w:val="002A21D6"/>
    <w:rsid w:val="002A2234"/>
    <w:rsid w:val="002A254B"/>
    <w:rsid w:val="002A31F1"/>
    <w:rsid w:val="002A64D4"/>
    <w:rsid w:val="002A796B"/>
    <w:rsid w:val="002A7BF8"/>
    <w:rsid w:val="002A7DCD"/>
    <w:rsid w:val="002B08B6"/>
    <w:rsid w:val="002B110C"/>
    <w:rsid w:val="002B31EB"/>
    <w:rsid w:val="002B435C"/>
    <w:rsid w:val="002B47BD"/>
    <w:rsid w:val="002B5218"/>
    <w:rsid w:val="002B6380"/>
    <w:rsid w:val="002B7F64"/>
    <w:rsid w:val="002C1625"/>
    <w:rsid w:val="002C36DE"/>
    <w:rsid w:val="002C42A9"/>
    <w:rsid w:val="002D074D"/>
    <w:rsid w:val="002D0BA4"/>
    <w:rsid w:val="002D171E"/>
    <w:rsid w:val="002D4875"/>
    <w:rsid w:val="002D4BDB"/>
    <w:rsid w:val="002D5559"/>
    <w:rsid w:val="002E0BB2"/>
    <w:rsid w:val="002E27DE"/>
    <w:rsid w:val="002E37E0"/>
    <w:rsid w:val="002E3846"/>
    <w:rsid w:val="002E398D"/>
    <w:rsid w:val="002E43AA"/>
    <w:rsid w:val="002E55D5"/>
    <w:rsid w:val="002E7209"/>
    <w:rsid w:val="002F0258"/>
    <w:rsid w:val="002F1084"/>
    <w:rsid w:val="002F3304"/>
    <w:rsid w:val="002F3FF5"/>
    <w:rsid w:val="002F47FE"/>
    <w:rsid w:val="002F5F5E"/>
    <w:rsid w:val="0030193D"/>
    <w:rsid w:val="00301BBE"/>
    <w:rsid w:val="00302426"/>
    <w:rsid w:val="00302A20"/>
    <w:rsid w:val="00302AD4"/>
    <w:rsid w:val="0030374C"/>
    <w:rsid w:val="00303990"/>
    <w:rsid w:val="00303D83"/>
    <w:rsid w:val="003055B4"/>
    <w:rsid w:val="003057D1"/>
    <w:rsid w:val="00305D10"/>
    <w:rsid w:val="00306810"/>
    <w:rsid w:val="0030747D"/>
    <w:rsid w:val="00311590"/>
    <w:rsid w:val="00312971"/>
    <w:rsid w:val="00312D80"/>
    <w:rsid w:val="00313419"/>
    <w:rsid w:val="0031401A"/>
    <w:rsid w:val="0031623C"/>
    <w:rsid w:val="003168C4"/>
    <w:rsid w:val="00317400"/>
    <w:rsid w:val="003176AD"/>
    <w:rsid w:val="00322214"/>
    <w:rsid w:val="00322303"/>
    <w:rsid w:val="00323E6F"/>
    <w:rsid w:val="00324E22"/>
    <w:rsid w:val="003269B3"/>
    <w:rsid w:val="00326F2D"/>
    <w:rsid w:val="00330A25"/>
    <w:rsid w:val="003323AA"/>
    <w:rsid w:val="00332A2D"/>
    <w:rsid w:val="00334C72"/>
    <w:rsid w:val="00337813"/>
    <w:rsid w:val="00341180"/>
    <w:rsid w:val="003455C5"/>
    <w:rsid w:val="00345814"/>
    <w:rsid w:val="00346606"/>
    <w:rsid w:val="00346BDA"/>
    <w:rsid w:val="00355900"/>
    <w:rsid w:val="00355B97"/>
    <w:rsid w:val="00355E6B"/>
    <w:rsid w:val="0036020F"/>
    <w:rsid w:val="003602BF"/>
    <w:rsid w:val="00361173"/>
    <w:rsid w:val="00361749"/>
    <w:rsid w:val="00361D75"/>
    <w:rsid w:val="0036307D"/>
    <w:rsid w:val="00364C6B"/>
    <w:rsid w:val="0036535E"/>
    <w:rsid w:val="00366AD9"/>
    <w:rsid w:val="003673BA"/>
    <w:rsid w:val="00370A24"/>
    <w:rsid w:val="00370C06"/>
    <w:rsid w:val="003711F0"/>
    <w:rsid w:val="003721CD"/>
    <w:rsid w:val="0037232C"/>
    <w:rsid w:val="00375C36"/>
    <w:rsid w:val="00375F0F"/>
    <w:rsid w:val="003772FA"/>
    <w:rsid w:val="00377541"/>
    <w:rsid w:val="0038136A"/>
    <w:rsid w:val="00383E5C"/>
    <w:rsid w:val="0038641E"/>
    <w:rsid w:val="00386687"/>
    <w:rsid w:val="00391CA7"/>
    <w:rsid w:val="003920AA"/>
    <w:rsid w:val="0039234D"/>
    <w:rsid w:val="00392EF4"/>
    <w:rsid w:val="00395A54"/>
    <w:rsid w:val="003A136A"/>
    <w:rsid w:val="003A17A1"/>
    <w:rsid w:val="003A2749"/>
    <w:rsid w:val="003A3FDB"/>
    <w:rsid w:val="003A56A7"/>
    <w:rsid w:val="003A5FAA"/>
    <w:rsid w:val="003A6B8D"/>
    <w:rsid w:val="003B0C5E"/>
    <w:rsid w:val="003B18D1"/>
    <w:rsid w:val="003B1B4F"/>
    <w:rsid w:val="003B1FB6"/>
    <w:rsid w:val="003B33A0"/>
    <w:rsid w:val="003B3786"/>
    <w:rsid w:val="003B3EC0"/>
    <w:rsid w:val="003B4F58"/>
    <w:rsid w:val="003B509A"/>
    <w:rsid w:val="003B594E"/>
    <w:rsid w:val="003B6195"/>
    <w:rsid w:val="003C046F"/>
    <w:rsid w:val="003C04A5"/>
    <w:rsid w:val="003C0E3D"/>
    <w:rsid w:val="003C11B4"/>
    <w:rsid w:val="003C1694"/>
    <w:rsid w:val="003C2027"/>
    <w:rsid w:val="003C2FFB"/>
    <w:rsid w:val="003C3F6D"/>
    <w:rsid w:val="003C7379"/>
    <w:rsid w:val="003C7856"/>
    <w:rsid w:val="003D2013"/>
    <w:rsid w:val="003D4C7A"/>
    <w:rsid w:val="003D5631"/>
    <w:rsid w:val="003D6E22"/>
    <w:rsid w:val="003D6E80"/>
    <w:rsid w:val="003E0336"/>
    <w:rsid w:val="003E053E"/>
    <w:rsid w:val="003E07AE"/>
    <w:rsid w:val="003E0FC1"/>
    <w:rsid w:val="003E3202"/>
    <w:rsid w:val="003E42AD"/>
    <w:rsid w:val="003E4C2C"/>
    <w:rsid w:val="003E4C89"/>
    <w:rsid w:val="003E54EA"/>
    <w:rsid w:val="003E5724"/>
    <w:rsid w:val="003E6509"/>
    <w:rsid w:val="003F06E2"/>
    <w:rsid w:val="003F1A0A"/>
    <w:rsid w:val="003F2BFD"/>
    <w:rsid w:val="003F2F9B"/>
    <w:rsid w:val="003F35AF"/>
    <w:rsid w:val="003F416B"/>
    <w:rsid w:val="003F4CBB"/>
    <w:rsid w:val="003F4D34"/>
    <w:rsid w:val="003F5C61"/>
    <w:rsid w:val="003F6152"/>
    <w:rsid w:val="003F66CD"/>
    <w:rsid w:val="003F6744"/>
    <w:rsid w:val="003F77D4"/>
    <w:rsid w:val="004001E1"/>
    <w:rsid w:val="004036D8"/>
    <w:rsid w:val="00403D58"/>
    <w:rsid w:val="00404D7F"/>
    <w:rsid w:val="00405A21"/>
    <w:rsid w:val="0040610A"/>
    <w:rsid w:val="00406DF6"/>
    <w:rsid w:val="004077FF"/>
    <w:rsid w:val="00407B08"/>
    <w:rsid w:val="004102A0"/>
    <w:rsid w:val="00410A12"/>
    <w:rsid w:val="00411776"/>
    <w:rsid w:val="00412F08"/>
    <w:rsid w:val="00413346"/>
    <w:rsid w:val="00413FFD"/>
    <w:rsid w:val="00414BD2"/>
    <w:rsid w:val="004156DF"/>
    <w:rsid w:val="00417586"/>
    <w:rsid w:val="004204A4"/>
    <w:rsid w:val="00420A20"/>
    <w:rsid w:val="00422D75"/>
    <w:rsid w:val="00422FC7"/>
    <w:rsid w:val="0042700D"/>
    <w:rsid w:val="00430509"/>
    <w:rsid w:val="00430767"/>
    <w:rsid w:val="004329C1"/>
    <w:rsid w:val="00432DAD"/>
    <w:rsid w:val="00435E20"/>
    <w:rsid w:val="004366AC"/>
    <w:rsid w:val="00441172"/>
    <w:rsid w:val="004415CB"/>
    <w:rsid w:val="00441892"/>
    <w:rsid w:val="00443442"/>
    <w:rsid w:val="00445D5B"/>
    <w:rsid w:val="00446B94"/>
    <w:rsid w:val="00450109"/>
    <w:rsid w:val="004511FA"/>
    <w:rsid w:val="00453456"/>
    <w:rsid w:val="00454076"/>
    <w:rsid w:val="0045416A"/>
    <w:rsid w:val="0045601A"/>
    <w:rsid w:val="004613DB"/>
    <w:rsid w:val="00461497"/>
    <w:rsid w:val="0046385B"/>
    <w:rsid w:val="00463916"/>
    <w:rsid w:val="00464DCA"/>
    <w:rsid w:val="00466164"/>
    <w:rsid w:val="00466703"/>
    <w:rsid w:val="00466A13"/>
    <w:rsid w:val="00466A9B"/>
    <w:rsid w:val="00472624"/>
    <w:rsid w:val="004732E2"/>
    <w:rsid w:val="00473443"/>
    <w:rsid w:val="004736A2"/>
    <w:rsid w:val="00473A74"/>
    <w:rsid w:val="004747D4"/>
    <w:rsid w:val="004768D4"/>
    <w:rsid w:val="004808A0"/>
    <w:rsid w:val="0048106E"/>
    <w:rsid w:val="0048113C"/>
    <w:rsid w:val="0048370C"/>
    <w:rsid w:val="00486920"/>
    <w:rsid w:val="00492ED7"/>
    <w:rsid w:val="0049348E"/>
    <w:rsid w:val="00494E40"/>
    <w:rsid w:val="00496477"/>
    <w:rsid w:val="00497839"/>
    <w:rsid w:val="004A018A"/>
    <w:rsid w:val="004A046A"/>
    <w:rsid w:val="004A2C02"/>
    <w:rsid w:val="004A6F51"/>
    <w:rsid w:val="004A74BD"/>
    <w:rsid w:val="004A7AF7"/>
    <w:rsid w:val="004B638E"/>
    <w:rsid w:val="004C09BE"/>
    <w:rsid w:val="004C1289"/>
    <w:rsid w:val="004C140E"/>
    <w:rsid w:val="004C3905"/>
    <w:rsid w:val="004C4A7E"/>
    <w:rsid w:val="004C529D"/>
    <w:rsid w:val="004D0182"/>
    <w:rsid w:val="004D17E7"/>
    <w:rsid w:val="004D230A"/>
    <w:rsid w:val="004D252D"/>
    <w:rsid w:val="004D3F60"/>
    <w:rsid w:val="004D73E1"/>
    <w:rsid w:val="004D7697"/>
    <w:rsid w:val="004E0331"/>
    <w:rsid w:val="004E0B6E"/>
    <w:rsid w:val="004E1B42"/>
    <w:rsid w:val="004E39EC"/>
    <w:rsid w:val="004E3DCC"/>
    <w:rsid w:val="004E4D28"/>
    <w:rsid w:val="004E537F"/>
    <w:rsid w:val="004E5D96"/>
    <w:rsid w:val="004F0EAD"/>
    <w:rsid w:val="004F1A06"/>
    <w:rsid w:val="004F452B"/>
    <w:rsid w:val="004F4808"/>
    <w:rsid w:val="004F4F4F"/>
    <w:rsid w:val="004F5FB9"/>
    <w:rsid w:val="004F731B"/>
    <w:rsid w:val="00500148"/>
    <w:rsid w:val="00500741"/>
    <w:rsid w:val="00501305"/>
    <w:rsid w:val="00501C5A"/>
    <w:rsid w:val="00504432"/>
    <w:rsid w:val="005049A2"/>
    <w:rsid w:val="005049D3"/>
    <w:rsid w:val="005050BF"/>
    <w:rsid w:val="00505D8C"/>
    <w:rsid w:val="00505E7C"/>
    <w:rsid w:val="0051083D"/>
    <w:rsid w:val="00511129"/>
    <w:rsid w:val="005111BE"/>
    <w:rsid w:val="005123A4"/>
    <w:rsid w:val="00512D65"/>
    <w:rsid w:val="00513DE8"/>
    <w:rsid w:val="00514EF7"/>
    <w:rsid w:val="00515364"/>
    <w:rsid w:val="005159CB"/>
    <w:rsid w:val="00515F14"/>
    <w:rsid w:val="0051602B"/>
    <w:rsid w:val="0051676F"/>
    <w:rsid w:val="00516F44"/>
    <w:rsid w:val="00520071"/>
    <w:rsid w:val="00520107"/>
    <w:rsid w:val="0052048C"/>
    <w:rsid w:val="0052125F"/>
    <w:rsid w:val="00522E7F"/>
    <w:rsid w:val="00524AE4"/>
    <w:rsid w:val="005251D6"/>
    <w:rsid w:val="00525578"/>
    <w:rsid w:val="005264FB"/>
    <w:rsid w:val="00526D32"/>
    <w:rsid w:val="00526EDD"/>
    <w:rsid w:val="00531FEE"/>
    <w:rsid w:val="00534127"/>
    <w:rsid w:val="00534305"/>
    <w:rsid w:val="005368FA"/>
    <w:rsid w:val="00536EA4"/>
    <w:rsid w:val="005417F7"/>
    <w:rsid w:val="005419E1"/>
    <w:rsid w:val="005432D0"/>
    <w:rsid w:val="00543726"/>
    <w:rsid w:val="005454C8"/>
    <w:rsid w:val="00547775"/>
    <w:rsid w:val="00550C47"/>
    <w:rsid w:val="00551D29"/>
    <w:rsid w:val="00551D35"/>
    <w:rsid w:val="00552385"/>
    <w:rsid w:val="00552CA5"/>
    <w:rsid w:val="005563BC"/>
    <w:rsid w:val="00556F4B"/>
    <w:rsid w:val="00557A43"/>
    <w:rsid w:val="00557D99"/>
    <w:rsid w:val="00560065"/>
    <w:rsid w:val="0056195E"/>
    <w:rsid w:val="00563556"/>
    <w:rsid w:val="00563ECD"/>
    <w:rsid w:val="0056571E"/>
    <w:rsid w:val="005663C8"/>
    <w:rsid w:val="00567551"/>
    <w:rsid w:val="00567C43"/>
    <w:rsid w:val="00571EC6"/>
    <w:rsid w:val="005728C8"/>
    <w:rsid w:val="00573148"/>
    <w:rsid w:val="0057371C"/>
    <w:rsid w:val="00573D23"/>
    <w:rsid w:val="00577609"/>
    <w:rsid w:val="0057794F"/>
    <w:rsid w:val="00577CCB"/>
    <w:rsid w:val="005805DC"/>
    <w:rsid w:val="00580A0F"/>
    <w:rsid w:val="00580F84"/>
    <w:rsid w:val="0058102F"/>
    <w:rsid w:val="00581DE2"/>
    <w:rsid w:val="005854AB"/>
    <w:rsid w:val="005866F8"/>
    <w:rsid w:val="00586A0D"/>
    <w:rsid w:val="00586ADB"/>
    <w:rsid w:val="005876F6"/>
    <w:rsid w:val="005878E1"/>
    <w:rsid w:val="005930CF"/>
    <w:rsid w:val="00593EE1"/>
    <w:rsid w:val="00594238"/>
    <w:rsid w:val="005949ED"/>
    <w:rsid w:val="00597B72"/>
    <w:rsid w:val="005A0DD0"/>
    <w:rsid w:val="005A2C00"/>
    <w:rsid w:val="005A4304"/>
    <w:rsid w:val="005A435C"/>
    <w:rsid w:val="005A6ED7"/>
    <w:rsid w:val="005A7484"/>
    <w:rsid w:val="005A768C"/>
    <w:rsid w:val="005A7EAA"/>
    <w:rsid w:val="005B0308"/>
    <w:rsid w:val="005B2AAA"/>
    <w:rsid w:val="005B2E2E"/>
    <w:rsid w:val="005B3064"/>
    <w:rsid w:val="005B3629"/>
    <w:rsid w:val="005B3EF0"/>
    <w:rsid w:val="005B442D"/>
    <w:rsid w:val="005B61B6"/>
    <w:rsid w:val="005B636C"/>
    <w:rsid w:val="005B7AAA"/>
    <w:rsid w:val="005C15C0"/>
    <w:rsid w:val="005C16E9"/>
    <w:rsid w:val="005C3293"/>
    <w:rsid w:val="005C5D14"/>
    <w:rsid w:val="005C62A7"/>
    <w:rsid w:val="005C74D2"/>
    <w:rsid w:val="005C750F"/>
    <w:rsid w:val="005D3D8A"/>
    <w:rsid w:val="005D40E4"/>
    <w:rsid w:val="005D485E"/>
    <w:rsid w:val="005D4BEE"/>
    <w:rsid w:val="005D7769"/>
    <w:rsid w:val="005E024A"/>
    <w:rsid w:val="005E0C40"/>
    <w:rsid w:val="005E0E4D"/>
    <w:rsid w:val="005E1DDF"/>
    <w:rsid w:val="005E2793"/>
    <w:rsid w:val="005E459F"/>
    <w:rsid w:val="005E54BC"/>
    <w:rsid w:val="005E57F7"/>
    <w:rsid w:val="005E642F"/>
    <w:rsid w:val="005E7416"/>
    <w:rsid w:val="005E76AF"/>
    <w:rsid w:val="005F0A63"/>
    <w:rsid w:val="005F0D73"/>
    <w:rsid w:val="005F0F34"/>
    <w:rsid w:val="005F147B"/>
    <w:rsid w:val="005F1B50"/>
    <w:rsid w:val="005F5512"/>
    <w:rsid w:val="005F67AD"/>
    <w:rsid w:val="005F6F29"/>
    <w:rsid w:val="00600122"/>
    <w:rsid w:val="00601B0C"/>
    <w:rsid w:val="00601EA7"/>
    <w:rsid w:val="00603440"/>
    <w:rsid w:val="0060377E"/>
    <w:rsid w:val="00603931"/>
    <w:rsid w:val="00603D47"/>
    <w:rsid w:val="006042BB"/>
    <w:rsid w:val="0060457F"/>
    <w:rsid w:val="00605D69"/>
    <w:rsid w:val="00606E73"/>
    <w:rsid w:val="0060763B"/>
    <w:rsid w:val="006100E9"/>
    <w:rsid w:val="00610A78"/>
    <w:rsid w:val="00610DB3"/>
    <w:rsid w:val="00611994"/>
    <w:rsid w:val="00611F0A"/>
    <w:rsid w:val="00613C85"/>
    <w:rsid w:val="00614356"/>
    <w:rsid w:val="006157CE"/>
    <w:rsid w:val="006159FC"/>
    <w:rsid w:val="0061655D"/>
    <w:rsid w:val="006177D1"/>
    <w:rsid w:val="006209E8"/>
    <w:rsid w:val="006212DF"/>
    <w:rsid w:val="006224BC"/>
    <w:rsid w:val="00622D0E"/>
    <w:rsid w:val="00622FC2"/>
    <w:rsid w:val="006243E9"/>
    <w:rsid w:val="00626C01"/>
    <w:rsid w:val="00630456"/>
    <w:rsid w:val="00630C13"/>
    <w:rsid w:val="0063241C"/>
    <w:rsid w:val="0063279A"/>
    <w:rsid w:val="00632961"/>
    <w:rsid w:val="0063447C"/>
    <w:rsid w:val="00640D02"/>
    <w:rsid w:val="00640FCD"/>
    <w:rsid w:val="006421E7"/>
    <w:rsid w:val="0064267E"/>
    <w:rsid w:val="00643535"/>
    <w:rsid w:val="006435FA"/>
    <w:rsid w:val="00643767"/>
    <w:rsid w:val="00650DA3"/>
    <w:rsid w:val="0065196A"/>
    <w:rsid w:val="006530BB"/>
    <w:rsid w:val="00653AEA"/>
    <w:rsid w:val="00654229"/>
    <w:rsid w:val="00654CE3"/>
    <w:rsid w:val="00655C70"/>
    <w:rsid w:val="00656F9B"/>
    <w:rsid w:val="006572C7"/>
    <w:rsid w:val="006574C5"/>
    <w:rsid w:val="006600E4"/>
    <w:rsid w:val="006611E2"/>
    <w:rsid w:val="006626E3"/>
    <w:rsid w:val="00664D20"/>
    <w:rsid w:val="00664EB7"/>
    <w:rsid w:val="006657D5"/>
    <w:rsid w:val="006661BF"/>
    <w:rsid w:val="00666D77"/>
    <w:rsid w:val="00667E89"/>
    <w:rsid w:val="00670C6A"/>
    <w:rsid w:val="00671343"/>
    <w:rsid w:val="0067211F"/>
    <w:rsid w:val="00673587"/>
    <w:rsid w:val="006742AD"/>
    <w:rsid w:val="006744EF"/>
    <w:rsid w:val="006753E9"/>
    <w:rsid w:val="00676EC9"/>
    <w:rsid w:val="00676F01"/>
    <w:rsid w:val="00680408"/>
    <w:rsid w:val="00680F05"/>
    <w:rsid w:val="006822DE"/>
    <w:rsid w:val="006839BA"/>
    <w:rsid w:val="006840EA"/>
    <w:rsid w:val="00684E1B"/>
    <w:rsid w:val="00687FEB"/>
    <w:rsid w:val="00690687"/>
    <w:rsid w:val="00690D92"/>
    <w:rsid w:val="00692169"/>
    <w:rsid w:val="0069262F"/>
    <w:rsid w:val="00692B97"/>
    <w:rsid w:val="00695F25"/>
    <w:rsid w:val="006977D9"/>
    <w:rsid w:val="00697A57"/>
    <w:rsid w:val="006A08F3"/>
    <w:rsid w:val="006A09F3"/>
    <w:rsid w:val="006A229B"/>
    <w:rsid w:val="006A5B16"/>
    <w:rsid w:val="006A7AC9"/>
    <w:rsid w:val="006B11B2"/>
    <w:rsid w:val="006B1A85"/>
    <w:rsid w:val="006B24F5"/>
    <w:rsid w:val="006B50CC"/>
    <w:rsid w:val="006B6D91"/>
    <w:rsid w:val="006C09F1"/>
    <w:rsid w:val="006C20CD"/>
    <w:rsid w:val="006C2702"/>
    <w:rsid w:val="006C3CC1"/>
    <w:rsid w:val="006C42BC"/>
    <w:rsid w:val="006C71FF"/>
    <w:rsid w:val="006D0003"/>
    <w:rsid w:val="006D0388"/>
    <w:rsid w:val="006D0C4C"/>
    <w:rsid w:val="006D0E33"/>
    <w:rsid w:val="006D17C5"/>
    <w:rsid w:val="006D29F6"/>
    <w:rsid w:val="006D38F3"/>
    <w:rsid w:val="006D68CB"/>
    <w:rsid w:val="006D6EB5"/>
    <w:rsid w:val="006E0101"/>
    <w:rsid w:val="006E07DF"/>
    <w:rsid w:val="006E1908"/>
    <w:rsid w:val="006E3BF7"/>
    <w:rsid w:val="006E697B"/>
    <w:rsid w:val="006F1F65"/>
    <w:rsid w:val="006F51A7"/>
    <w:rsid w:val="006F5506"/>
    <w:rsid w:val="006F6692"/>
    <w:rsid w:val="006F695D"/>
    <w:rsid w:val="006F7904"/>
    <w:rsid w:val="00702E89"/>
    <w:rsid w:val="00702F95"/>
    <w:rsid w:val="00702FAC"/>
    <w:rsid w:val="00703CAE"/>
    <w:rsid w:val="00705AFA"/>
    <w:rsid w:val="00705F5C"/>
    <w:rsid w:val="00706D97"/>
    <w:rsid w:val="00707C65"/>
    <w:rsid w:val="00711D4F"/>
    <w:rsid w:val="00713BAE"/>
    <w:rsid w:val="0071446D"/>
    <w:rsid w:val="00716CC7"/>
    <w:rsid w:val="00716DCC"/>
    <w:rsid w:val="00717F86"/>
    <w:rsid w:val="00720BC9"/>
    <w:rsid w:val="00723C59"/>
    <w:rsid w:val="007244BF"/>
    <w:rsid w:val="00724D62"/>
    <w:rsid w:val="0072795D"/>
    <w:rsid w:val="00730090"/>
    <w:rsid w:val="00732317"/>
    <w:rsid w:val="00732AC3"/>
    <w:rsid w:val="00732F42"/>
    <w:rsid w:val="0073318C"/>
    <w:rsid w:val="00733FDC"/>
    <w:rsid w:val="00736BBA"/>
    <w:rsid w:val="00740DA1"/>
    <w:rsid w:val="00740E9A"/>
    <w:rsid w:val="0074218B"/>
    <w:rsid w:val="00744B1C"/>
    <w:rsid w:val="007461F0"/>
    <w:rsid w:val="00747E62"/>
    <w:rsid w:val="0075025A"/>
    <w:rsid w:val="00751BAE"/>
    <w:rsid w:val="007549ED"/>
    <w:rsid w:val="00755D23"/>
    <w:rsid w:val="007567AD"/>
    <w:rsid w:val="00760B03"/>
    <w:rsid w:val="007616A0"/>
    <w:rsid w:val="00761B04"/>
    <w:rsid w:val="00761CC9"/>
    <w:rsid w:val="007629AF"/>
    <w:rsid w:val="00762D63"/>
    <w:rsid w:val="0076397D"/>
    <w:rsid w:val="00764094"/>
    <w:rsid w:val="00765AA2"/>
    <w:rsid w:val="00765F90"/>
    <w:rsid w:val="007670E9"/>
    <w:rsid w:val="0076734D"/>
    <w:rsid w:val="00770093"/>
    <w:rsid w:val="00770463"/>
    <w:rsid w:val="00770D54"/>
    <w:rsid w:val="00770F69"/>
    <w:rsid w:val="00771B47"/>
    <w:rsid w:val="00772095"/>
    <w:rsid w:val="00772D76"/>
    <w:rsid w:val="00773B21"/>
    <w:rsid w:val="00774FF8"/>
    <w:rsid w:val="00775759"/>
    <w:rsid w:val="00777AF0"/>
    <w:rsid w:val="0078060F"/>
    <w:rsid w:val="007821C1"/>
    <w:rsid w:val="00782557"/>
    <w:rsid w:val="00782FC3"/>
    <w:rsid w:val="007836EC"/>
    <w:rsid w:val="00784375"/>
    <w:rsid w:val="0078518D"/>
    <w:rsid w:val="00785789"/>
    <w:rsid w:val="00786380"/>
    <w:rsid w:val="007865FF"/>
    <w:rsid w:val="007873F8"/>
    <w:rsid w:val="00787432"/>
    <w:rsid w:val="00787590"/>
    <w:rsid w:val="007877D7"/>
    <w:rsid w:val="0078785A"/>
    <w:rsid w:val="00791F63"/>
    <w:rsid w:val="00792E08"/>
    <w:rsid w:val="00793DA5"/>
    <w:rsid w:val="00793FE1"/>
    <w:rsid w:val="0079442B"/>
    <w:rsid w:val="00795343"/>
    <w:rsid w:val="00796C4B"/>
    <w:rsid w:val="007A03E0"/>
    <w:rsid w:val="007A1E17"/>
    <w:rsid w:val="007A666C"/>
    <w:rsid w:val="007A6FDA"/>
    <w:rsid w:val="007B0345"/>
    <w:rsid w:val="007B08AA"/>
    <w:rsid w:val="007B3889"/>
    <w:rsid w:val="007B43BE"/>
    <w:rsid w:val="007B44F0"/>
    <w:rsid w:val="007B49F9"/>
    <w:rsid w:val="007B4DFB"/>
    <w:rsid w:val="007B5961"/>
    <w:rsid w:val="007B5D7B"/>
    <w:rsid w:val="007B5EC5"/>
    <w:rsid w:val="007B6A47"/>
    <w:rsid w:val="007B6DF5"/>
    <w:rsid w:val="007B75C0"/>
    <w:rsid w:val="007C213B"/>
    <w:rsid w:val="007C332C"/>
    <w:rsid w:val="007C4E85"/>
    <w:rsid w:val="007C55F9"/>
    <w:rsid w:val="007C575B"/>
    <w:rsid w:val="007C626E"/>
    <w:rsid w:val="007C6E5E"/>
    <w:rsid w:val="007D02AC"/>
    <w:rsid w:val="007D066C"/>
    <w:rsid w:val="007D14B6"/>
    <w:rsid w:val="007D17A4"/>
    <w:rsid w:val="007D2749"/>
    <w:rsid w:val="007D2D12"/>
    <w:rsid w:val="007E10E0"/>
    <w:rsid w:val="007E1BF8"/>
    <w:rsid w:val="007E397A"/>
    <w:rsid w:val="007E3AEE"/>
    <w:rsid w:val="007E4FA2"/>
    <w:rsid w:val="007E67C6"/>
    <w:rsid w:val="007E6C26"/>
    <w:rsid w:val="007E7050"/>
    <w:rsid w:val="007E739B"/>
    <w:rsid w:val="007E743C"/>
    <w:rsid w:val="007E7966"/>
    <w:rsid w:val="007E7C84"/>
    <w:rsid w:val="007F06F1"/>
    <w:rsid w:val="007F0924"/>
    <w:rsid w:val="007F12C7"/>
    <w:rsid w:val="007F15CB"/>
    <w:rsid w:val="007F246A"/>
    <w:rsid w:val="007F2EAB"/>
    <w:rsid w:val="007F44A5"/>
    <w:rsid w:val="007F46A0"/>
    <w:rsid w:val="007F4883"/>
    <w:rsid w:val="007F4A52"/>
    <w:rsid w:val="007F4F56"/>
    <w:rsid w:val="007F5135"/>
    <w:rsid w:val="007F5524"/>
    <w:rsid w:val="007F5F66"/>
    <w:rsid w:val="007F63EA"/>
    <w:rsid w:val="007F77B5"/>
    <w:rsid w:val="008005EA"/>
    <w:rsid w:val="00801E97"/>
    <w:rsid w:val="0080271D"/>
    <w:rsid w:val="0080274D"/>
    <w:rsid w:val="008039F0"/>
    <w:rsid w:val="008053C9"/>
    <w:rsid w:val="00805DCC"/>
    <w:rsid w:val="00807C9C"/>
    <w:rsid w:val="00810AEA"/>
    <w:rsid w:val="00812582"/>
    <w:rsid w:val="008159D2"/>
    <w:rsid w:val="00815B78"/>
    <w:rsid w:val="00816328"/>
    <w:rsid w:val="008168C8"/>
    <w:rsid w:val="00825BC4"/>
    <w:rsid w:val="00826522"/>
    <w:rsid w:val="008269AF"/>
    <w:rsid w:val="00826D0F"/>
    <w:rsid w:val="00831E0C"/>
    <w:rsid w:val="00832F02"/>
    <w:rsid w:val="00834612"/>
    <w:rsid w:val="00834722"/>
    <w:rsid w:val="00834DC7"/>
    <w:rsid w:val="00835C42"/>
    <w:rsid w:val="00835DB7"/>
    <w:rsid w:val="00836059"/>
    <w:rsid w:val="008368F3"/>
    <w:rsid w:val="008429BF"/>
    <w:rsid w:val="00843734"/>
    <w:rsid w:val="00846DBB"/>
    <w:rsid w:val="008473B1"/>
    <w:rsid w:val="008479A1"/>
    <w:rsid w:val="0085126A"/>
    <w:rsid w:val="008524C1"/>
    <w:rsid w:val="00852873"/>
    <w:rsid w:val="00853803"/>
    <w:rsid w:val="0085390A"/>
    <w:rsid w:val="00855C35"/>
    <w:rsid w:val="00855FD9"/>
    <w:rsid w:val="00856343"/>
    <w:rsid w:val="008564C0"/>
    <w:rsid w:val="00856865"/>
    <w:rsid w:val="0085699E"/>
    <w:rsid w:val="00860231"/>
    <w:rsid w:val="008606A1"/>
    <w:rsid w:val="00862794"/>
    <w:rsid w:val="00870168"/>
    <w:rsid w:val="00870B5C"/>
    <w:rsid w:val="008716D4"/>
    <w:rsid w:val="0087358B"/>
    <w:rsid w:val="0087381B"/>
    <w:rsid w:val="008743E7"/>
    <w:rsid w:val="00875E63"/>
    <w:rsid w:val="00876FF1"/>
    <w:rsid w:val="00877869"/>
    <w:rsid w:val="008809F8"/>
    <w:rsid w:val="00881815"/>
    <w:rsid w:val="00881A30"/>
    <w:rsid w:val="00882102"/>
    <w:rsid w:val="00882FD3"/>
    <w:rsid w:val="00883D3F"/>
    <w:rsid w:val="00883D77"/>
    <w:rsid w:val="0088504E"/>
    <w:rsid w:val="008861DF"/>
    <w:rsid w:val="00886955"/>
    <w:rsid w:val="00887520"/>
    <w:rsid w:val="0088795F"/>
    <w:rsid w:val="008902DF"/>
    <w:rsid w:val="00890566"/>
    <w:rsid w:val="0089174E"/>
    <w:rsid w:val="00891B5C"/>
    <w:rsid w:val="00892CD9"/>
    <w:rsid w:val="00894132"/>
    <w:rsid w:val="00894A6E"/>
    <w:rsid w:val="00896266"/>
    <w:rsid w:val="008A06BF"/>
    <w:rsid w:val="008A0C85"/>
    <w:rsid w:val="008A15ED"/>
    <w:rsid w:val="008A2120"/>
    <w:rsid w:val="008A3D0C"/>
    <w:rsid w:val="008A40B6"/>
    <w:rsid w:val="008A4E0C"/>
    <w:rsid w:val="008A5DE4"/>
    <w:rsid w:val="008A6504"/>
    <w:rsid w:val="008B1DB7"/>
    <w:rsid w:val="008B2ED7"/>
    <w:rsid w:val="008B45C5"/>
    <w:rsid w:val="008B4B79"/>
    <w:rsid w:val="008B56D6"/>
    <w:rsid w:val="008C2170"/>
    <w:rsid w:val="008C22FD"/>
    <w:rsid w:val="008C34B7"/>
    <w:rsid w:val="008C37F5"/>
    <w:rsid w:val="008C5167"/>
    <w:rsid w:val="008C635D"/>
    <w:rsid w:val="008C63BC"/>
    <w:rsid w:val="008C72AA"/>
    <w:rsid w:val="008D03F7"/>
    <w:rsid w:val="008D0F8D"/>
    <w:rsid w:val="008D22F6"/>
    <w:rsid w:val="008D25E1"/>
    <w:rsid w:val="008D2B05"/>
    <w:rsid w:val="008D3375"/>
    <w:rsid w:val="008D3723"/>
    <w:rsid w:val="008D37A3"/>
    <w:rsid w:val="008D61EE"/>
    <w:rsid w:val="008D69CD"/>
    <w:rsid w:val="008D749A"/>
    <w:rsid w:val="008E0358"/>
    <w:rsid w:val="008E5851"/>
    <w:rsid w:val="008E5EB0"/>
    <w:rsid w:val="008E6760"/>
    <w:rsid w:val="008F1344"/>
    <w:rsid w:val="008F142F"/>
    <w:rsid w:val="008F14BD"/>
    <w:rsid w:val="008F1934"/>
    <w:rsid w:val="008F27AE"/>
    <w:rsid w:val="008F2FC1"/>
    <w:rsid w:val="008F427D"/>
    <w:rsid w:val="008F53E0"/>
    <w:rsid w:val="008F6C64"/>
    <w:rsid w:val="008F741B"/>
    <w:rsid w:val="00901630"/>
    <w:rsid w:val="00902135"/>
    <w:rsid w:val="00902A43"/>
    <w:rsid w:val="009045E3"/>
    <w:rsid w:val="00904E0A"/>
    <w:rsid w:val="00905F18"/>
    <w:rsid w:val="009104DF"/>
    <w:rsid w:val="00910E0E"/>
    <w:rsid w:val="0091340E"/>
    <w:rsid w:val="00913D0F"/>
    <w:rsid w:val="00914A6F"/>
    <w:rsid w:val="009153D5"/>
    <w:rsid w:val="009163B4"/>
    <w:rsid w:val="00921846"/>
    <w:rsid w:val="00921A4C"/>
    <w:rsid w:val="00922AC0"/>
    <w:rsid w:val="00923F6F"/>
    <w:rsid w:val="00925259"/>
    <w:rsid w:val="00925DAC"/>
    <w:rsid w:val="00933205"/>
    <w:rsid w:val="00933706"/>
    <w:rsid w:val="00937B9C"/>
    <w:rsid w:val="00937FF4"/>
    <w:rsid w:val="00941C53"/>
    <w:rsid w:val="00943195"/>
    <w:rsid w:val="00943973"/>
    <w:rsid w:val="00944ADF"/>
    <w:rsid w:val="00944BFB"/>
    <w:rsid w:val="009451E8"/>
    <w:rsid w:val="00945AB2"/>
    <w:rsid w:val="00947682"/>
    <w:rsid w:val="00951B26"/>
    <w:rsid w:val="00952718"/>
    <w:rsid w:val="00952B2E"/>
    <w:rsid w:val="00952FD1"/>
    <w:rsid w:val="00954D73"/>
    <w:rsid w:val="00954E7F"/>
    <w:rsid w:val="009553CC"/>
    <w:rsid w:val="00957EFE"/>
    <w:rsid w:val="009600BB"/>
    <w:rsid w:val="00960FD9"/>
    <w:rsid w:val="00963A4C"/>
    <w:rsid w:val="009649B1"/>
    <w:rsid w:val="00964A2D"/>
    <w:rsid w:val="00966592"/>
    <w:rsid w:val="0097110F"/>
    <w:rsid w:val="0097274B"/>
    <w:rsid w:val="009739F5"/>
    <w:rsid w:val="00974012"/>
    <w:rsid w:val="009740CD"/>
    <w:rsid w:val="00974903"/>
    <w:rsid w:val="00980CBF"/>
    <w:rsid w:val="00981A9F"/>
    <w:rsid w:val="00981C8E"/>
    <w:rsid w:val="00983B09"/>
    <w:rsid w:val="0098738F"/>
    <w:rsid w:val="0098767D"/>
    <w:rsid w:val="009905A0"/>
    <w:rsid w:val="00991285"/>
    <w:rsid w:val="0099215A"/>
    <w:rsid w:val="009925BE"/>
    <w:rsid w:val="00995E13"/>
    <w:rsid w:val="0099649A"/>
    <w:rsid w:val="00996675"/>
    <w:rsid w:val="009A09C9"/>
    <w:rsid w:val="009A0E35"/>
    <w:rsid w:val="009A0FBA"/>
    <w:rsid w:val="009A1340"/>
    <w:rsid w:val="009A2385"/>
    <w:rsid w:val="009A3980"/>
    <w:rsid w:val="009A41BB"/>
    <w:rsid w:val="009A6FFA"/>
    <w:rsid w:val="009A7912"/>
    <w:rsid w:val="009B1E56"/>
    <w:rsid w:val="009B2092"/>
    <w:rsid w:val="009B2E77"/>
    <w:rsid w:val="009B3FD2"/>
    <w:rsid w:val="009B4BE7"/>
    <w:rsid w:val="009B4F8C"/>
    <w:rsid w:val="009C1276"/>
    <w:rsid w:val="009C519F"/>
    <w:rsid w:val="009C5668"/>
    <w:rsid w:val="009C63F8"/>
    <w:rsid w:val="009C7720"/>
    <w:rsid w:val="009C7F6B"/>
    <w:rsid w:val="009D1C41"/>
    <w:rsid w:val="009D273D"/>
    <w:rsid w:val="009D2C7F"/>
    <w:rsid w:val="009D3757"/>
    <w:rsid w:val="009D4558"/>
    <w:rsid w:val="009D4ADB"/>
    <w:rsid w:val="009D4F9E"/>
    <w:rsid w:val="009E25F4"/>
    <w:rsid w:val="009E360A"/>
    <w:rsid w:val="009E5291"/>
    <w:rsid w:val="009E6316"/>
    <w:rsid w:val="009F0C77"/>
    <w:rsid w:val="009F4F15"/>
    <w:rsid w:val="009F5D0C"/>
    <w:rsid w:val="009F643A"/>
    <w:rsid w:val="009F7036"/>
    <w:rsid w:val="009F769D"/>
    <w:rsid w:val="009F7F30"/>
    <w:rsid w:val="00A0027A"/>
    <w:rsid w:val="00A01032"/>
    <w:rsid w:val="00A01413"/>
    <w:rsid w:val="00A02092"/>
    <w:rsid w:val="00A026ED"/>
    <w:rsid w:val="00A030AB"/>
    <w:rsid w:val="00A05BE9"/>
    <w:rsid w:val="00A05E0D"/>
    <w:rsid w:val="00A0751A"/>
    <w:rsid w:val="00A07728"/>
    <w:rsid w:val="00A078FD"/>
    <w:rsid w:val="00A1202C"/>
    <w:rsid w:val="00A1373A"/>
    <w:rsid w:val="00A15BF0"/>
    <w:rsid w:val="00A166D3"/>
    <w:rsid w:val="00A16CF5"/>
    <w:rsid w:val="00A17A4D"/>
    <w:rsid w:val="00A21971"/>
    <w:rsid w:val="00A21F40"/>
    <w:rsid w:val="00A22D8F"/>
    <w:rsid w:val="00A23785"/>
    <w:rsid w:val="00A23FA6"/>
    <w:rsid w:val="00A26FAD"/>
    <w:rsid w:val="00A277C1"/>
    <w:rsid w:val="00A301F5"/>
    <w:rsid w:val="00A311DA"/>
    <w:rsid w:val="00A325E1"/>
    <w:rsid w:val="00A34379"/>
    <w:rsid w:val="00A41304"/>
    <w:rsid w:val="00A41A9A"/>
    <w:rsid w:val="00A46B01"/>
    <w:rsid w:val="00A471B3"/>
    <w:rsid w:val="00A4727F"/>
    <w:rsid w:val="00A501BE"/>
    <w:rsid w:val="00A507C1"/>
    <w:rsid w:val="00A50BD2"/>
    <w:rsid w:val="00A51CCA"/>
    <w:rsid w:val="00A5251F"/>
    <w:rsid w:val="00A534C9"/>
    <w:rsid w:val="00A53935"/>
    <w:rsid w:val="00A53B54"/>
    <w:rsid w:val="00A54EC5"/>
    <w:rsid w:val="00A551DA"/>
    <w:rsid w:val="00A5605A"/>
    <w:rsid w:val="00A56927"/>
    <w:rsid w:val="00A60930"/>
    <w:rsid w:val="00A6240F"/>
    <w:rsid w:val="00A62720"/>
    <w:rsid w:val="00A6335D"/>
    <w:rsid w:val="00A64E3F"/>
    <w:rsid w:val="00A64E57"/>
    <w:rsid w:val="00A651B9"/>
    <w:rsid w:val="00A65264"/>
    <w:rsid w:val="00A65F4D"/>
    <w:rsid w:val="00A7100D"/>
    <w:rsid w:val="00A7232A"/>
    <w:rsid w:val="00A72BEF"/>
    <w:rsid w:val="00A72D7A"/>
    <w:rsid w:val="00A74E21"/>
    <w:rsid w:val="00A7643D"/>
    <w:rsid w:val="00A76BC1"/>
    <w:rsid w:val="00A76DCB"/>
    <w:rsid w:val="00A76F17"/>
    <w:rsid w:val="00A80880"/>
    <w:rsid w:val="00A81904"/>
    <w:rsid w:val="00A81DC4"/>
    <w:rsid w:val="00A82ABB"/>
    <w:rsid w:val="00A82C18"/>
    <w:rsid w:val="00A82D17"/>
    <w:rsid w:val="00A83104"/>
    <w:rsid w:val="00A84A6E"/>
    <w:rsid w:val="00A84B08"/>
    <w:rsid w:val="00A84B1F"/>
    <w:rsid w:val="00A8530F"/>
    <w:rsid w:val="00A867A7"/>
    <w:rsid w:val="00A8696A"/>
    <w:rsid w:val="00A86C64"/>
    <w:rsid w:val="00A87026"/>
    <w:rsid w:val="00A90F1D"/>
    <w:rsid w:val="00A94149"/>
    <w:rsid w:val="00A94260"/>
    <w:rsid w:val="00A9434A"/>
    <w:rsid w:val="00A94C8C"/>
    <w:rsid w:val="00A94FC4"/>
    <w:rsid w:val="00A95C79"/>
    <w:rsid w:val="00AA0655"/>
    <w:rsid w:val="00AA41E2"/>
    <w:rsid w:val="00AA42AE"/>
    <w:rsid w:val="00AA4794"/>
    <w:rsid w:val="00AA64C7"/>
    <w:rsid w:val="00AA7821"/>
    <w:rsid w:val="00AA78FA"/>
    <w:rsid w:val="00AA7BB1"/>
    <w:rsid w:val="00AB1570"/>
    <w:rsid w:val="00AB46D3"/>
    <w:rsid w:val="00AB56A1"/>
    <w:rsid w:val="00AB6710"/>
    <w:rsid w:val="00AB69F8"/>
    <w:rsid w:val="00AB7186"/>
    <w:rsid w:val="00AB7E85"/>
    <w:rsid w:val="00AC0D6A"/>
    <w:rsid w:val="00AC0E1A"/>
    <w:rsid w:val="00AC2073"/>
    <w:rsid w:val="00AC26C6"/>
    <w:rsid w:val="00AC2F26"/>
    <w:rsid w:val="00AC386A"/>
    <w:rsid w:val="00AC4F57"/>
    <w:rsid w:val="00AC5E27"/>
    <w:rsid w:val="00AD29C7"/>
    <w:rsid w:val="00AD321C"/>
    <w:rsid w:val="00AD3FCB"/>
    <w:rsid w:val="00AD5981"/>
    <w:rsid w:val="00AD61CD"/>
    <w:rsid w:val="00AD6216"/>
    <w:rsid w:val="00AD6FFD"/>
    <w:rsid w:val="00AD7800"/>
    <w:rsid w:val="00AE0097"/>
    <w:rsid w:val="00AE0776"/>
    <w:rsid w:val="00AF0B2F"/>
    <w:rsid w:val="00AF2193"/>
    <w:rsid w:val="00AF3CEF"/>
    <w:rsid w:val="00AF5937"/>
    <w:rsid w:val="00AF5956"/>
    <w:rsid w:val="00AF6771"/>
    <w:rsid w:val="00AF6FF9"/>
    <w:rsid w:val="00AF7966"/>
    <w:rsid w:val="00AF7BDC"/>
    <w:rsid w:val="00AF7E58"/>
    <w:rsid w:val="00B00C1A"/>
    <w:rsid w:val="00B00D2F"/>
    <w:rsid w:val="00B00D7B"/>
    <w:rsid w:val="00B01888"/>
    <w:rsid w:val="00B04C47"/>
    <w:rsid w:val="00B04FCA"/>
    <w:rsid w:val="00B05271"/>
    <w:rsid w:val="00B0671B"/>
    <w:rsid w:val="00B06F19"/>
    <w:rsid w:val="00B0783B"/>
    <w:rsid w:val="00B10120"/>
    <w:rsid w:val="00B134EF"/>
    <w:rsid w:val="00B14950"/>
    <w:rsid w:val="00B15A67"/>
    <w:rsid w:val="00B16022"/>
    <w:rsid w:val="00B164BC"/>
    <w:rsid w:val="00B16503"/>
    <w:rsid w:val="00B16DBF"/>
    <w:rsid w:val="00B16ED2"/>
    <w:rsid w:val="00B17C93"/>
    <w:rsid w:val="00B202AC"/>
    <w:rsid w:val="00B2147D"/>
    <w:rsid w:val="00B2196C"/>
    <w:rsid w:val="00B21A77"/>
    <w:rsid w:val="00B238EB"/>
    <w:rsid w:val="00B24B6F"/>
    <w:rsid w:val="00B24C52"/>
    <w:rsid w:val="00B25EF9"/>
    <w:rsid w:val="00B27573"/>
    <w:rsid w:val="00B31273"/>
    <w:rsid w:val="00B3206B"/>
    <w:rsid w:val="00B3224B"/>
    <w:rsid w:val="00B333D4"/>
    <w:rsid w:val="00B347C5"/>
    <w:rsid w:val="00B356B4"/>
    <w:rsid w:val="00B4072A"/>
    <w:rsid w:val="00B40AC3"/>
    <w:rsid w:val="00B40E06"/>
    <w:rsid w:val="00B41828"/>
    <w:rsid w:val="00B41B62"/>
    <w:rsid w:val="00B43432"/>
    <w:rsid w:val="00B44A39"/>
    <w:rsid w:val="00B44BAD"/>
    <w:rsid w:val="00B4612D"/>
    <w:rsid w:val="00B5034E"/>
    <w:rsid w:val="00B51207"/>
    <w:rsid w:val="00B5269F"/>
    <w:rsid w:val="00B538F7"/>
    <w:rsid w:val="00B54678"/>
    <w:rsid w:val="00B547ED"/>
    <w:rsid w:val="00B54DBF"/>
    <w:rsid w:val="00B55036"/>
    <w:rsid w:val="00B5623B"/>
    <w:rsid w:val="00B56676"/>
    <w:rsid w:val="00B60164"/>
    <w:rsid w:val="00B601C7"/>
    <w:rsid w:val="00B625CE"/>
    <w:rsid w:val="00B62707"/>
    <w:rsid w:val="00B64323"/>
    <w:rsid w:val="00B64737"/>
    <w:rsid w:val="00B653C9"/>
    <w:rsid w:val="00B656EF"/>
    <w:rsid w:val="00B65E78"/>
    <w:rsid w:val="00B70C2B"/>
    <w:rsid w:val="00B70F13"/>
    <w:rsid w:val="00B72CF8"/>
    <w:rsid w:val="00B72F40"/>
    <w:rsid w:val="00B74072"/>
    <w:rsid w:val="00B74E2C"/>
    <w:rsid w:val="00B75313"/>
    <w:rsid w:val="00B773FA"/>
    <w:rsid w:val="00B77477"/>
    <w:rsid w:val="00B8034B"/>
    <w:rsid w:val="00B80952"/>
    <w:rsid w:val="00B81A3D"/>
    <w:rsid w:val="00B81FD7"/>
    <w:rsid w:val="00B82B80"/>
    <w:rsid w:val="00B85344"/>
    <w:rsid w:val="00B86253"/>
    <w:rsid w:val="00B9016A"/>
    <w:rsid w:val="00B901EA"/>
    <w:rsid w:val="00B91316"/>
    <w:rsid w:val="00B93EFF"/>
    <w:rsid w:val="00B95895"/>
    <w:rsid w:val="00B95C23"/>
    <w:rsid w:val="00B97BE7"/>
    <w:rsid w:val="00BA1373"/>
    <w:rsid w:val="00BA525E"/>
    <w:rsid w:val="00BA60AC"/>
    <w:rsid w:val="00BA61A5"/>
    <w:rsid w:val="00BA778C"/>
    <w:rsid w:val="00BB116B"/>
    <w:rsid w:val="00BB1871"/>
    <w:rsid w:val="00BB23DD"/>
    <w:rsid w:val="00BB478B"/>
    <w:rsid w:val="00BB51AC"/>
    <w:rsid w:val="00BB51D5"/>
    <w:rsid w:val="00BB5CD6"/>
    <w:rsid w:val="00BC33F2"/>
    <w:rsid w:val="00BC41BB"/>
    <w:rsid w:val="00BC4E3F"/>
    <w:rsid w:val="00BD01DC"/>
    <w:rsid w:val="00BD244C"/>
    <w:rsid w:val="00BD357D"/>
    <w:rsid w:val="00BD53B6"/>
    <w:rsid w:val="00BD77FF"/>
    <w:rsid w:val="00BD783F"/>
    <w:rsid w:val="00BD7A6A"/>
    <w:rsid w:val="00BE3AA0"/>
    <w:rsid w:val="00BE3FD4"/>
    <w:rsid w:val="00BE4E83"/>
    <w:rsid w:val="00BE53BF"/>
    <w:rsid w:val="00BE589D"/>
    <w:rsid w:val="00BE58A9"/>
    <w:rsid w:val="00BE5AA4"/>
    <w:rsid w:val="00BE5B87"/>
    <w:rsid w:val="00BE5FD9"/>
    <w:rsid w:val="00BE629D"/>
    <w:rsid w:val="00BE6D95"/>
    <w:rsid w:val="00BE795C"/>
    <w:rsid w:val="00BE7D95"/>
    <w:rsid w:val="00BF2A86"/>
    <w:rsid w:val="00BF339A"/>
    <w:rsid w:val="00BF4868"/>
    <w:rsid w:val="00BF64C0"/>
    <w:rsid w:val="00BF64E6"/>
    <w:rsid w:val="00BF6CD8"/>
    <w:rsid w:val="00BF7E16"/>
    <w:rsid w:val="00C02AE0"/>
    <w:rsid w:val="00C02FB7"/>
    <w:rsid w:val="00C0392D"/>
    <w:rsid w:val="00C03CBB"/>
    <w:rsid w:val="00C06A64"/>
    <w:rsid w:val="00C075AE"/>
    <w:rsid w:val="00C07AC4"/>
    <w:rsid w:val="00C1017F"/>
    <w:rsid w:val="00C117E5"/>
    <w:rsid w:val="00C11ED7"/>
    <w:rsid w:val="00C124DC"/>
    <w:rsid w:val="00C127E7"/>
    <w:rsid w:val="00C1342F"/>
    <w:rsid w:val="00C13875"/>
    <w:rsid w:val="00C13F36"/>
    <w:rsid w:val="00C1433D"/>
    <w:rsid w:val="00C14980"/>
    <w:rsid w:val="00C14B7D"/>
    <w:rsid w:val="00C167C4"/>
    <w:rsid w:val="00C17773"/>
    <w:rsid w:val="00C178FE"/>
    <w:rsid w:val="00C17E62"/>
    <w:rsid w:val="00C20998"/>
    <w:rsid w:val="00C234FA"/>
    <w:rsid w:val="00C2483A"/>
    <w:rsid w:val="00C32AB8"/>
    <w:rsid w:val="00C332D9"/>
    <w:rsid w:val="00C33EA4"/>
    <w:rsid w:val="00C35E26"/>
    <w:rsid w:val="00C363BE"/>
    <w:rsid w:val="00C364BA"/>
    <w:rsid w:val="00C415D8"/>
    <w:rsid w:val="00C43754"/>
    <w:rsid w:val="00C43E5D"/>
    <w:rsid w:val="00C46885"/>
    <w:rsid w:val="00C478C2"/>
    <w:rsid w:val="00C5051C"/>
    <w:rsid w:val="00C50B55"/>
    <w:rsid w:val="00C50B9B"/>
    <w:rsid w:val="00C53187"/>
    <w:rsid w:val="00C53544"/>
    <w:rsid w:val="00C53BC8"/>
    <w:rsid w:val="00C542B7"/>
    <w:rsid w:val="00C54377"/>
    <w:rsid w:val="00C54AD4"/>
    <w:rsid w:val="00C6120B"/>
    <w:rsid w:val="00C61467"/>
    <w:rsid w:val="00C62D6F"/>
    <w:rsid w:val="00C63BC8"/>
    <w:rsid w:val="00C6433C"/>
    <w:rsid w:val="00C65843"/>
    <w:rsid w:val="00C66C19"/>
    <w:rsid w:val="00C7176D"/>
    <w:rsid w:val="00C720E8"/>
    <w:rsid w:val="00C735FF"/>
    <w:rsid w:val="00C738C0"/>
    <w:rsid w:val="00C80C13"/>
    <w:rsid w:val="00C83E2A"/>
    <w:rsid w:val="00C83F4E"/>
    <w:rsid w:val="00C84556"/>
    <w:rsid w:val="00C85001"/>
    <w:rsid w:val="00C85BC5"/>
    <w:rsid w:val="00C86500"/>
    <w:rsid w:val="00C903EA"/>
    <w:rsid w:val="00C925A3"/>
    <w:rsid w:val="00C93F59"/>
    <w:rsid w:val="00C93FE5"/>
    <w:rsid w:val="00C941E4"/>
    <w:rsid w:val="00C94E09"/>
    <w:rsid w:val="00C95DBE"/>
    <w:rsid w:val="00C962A1"/>
    <w:rsid w:val="00C9783A"/>
    <w:rsid w:val="00CA0A6B"/>
    <w:rsid w:val="00CA2591"/>
    <w:rsid w:val="00CA25BD"/>
    <w:rsid w:val="00CA3388"/>
    <w:rsid w:val="00CA3C4D"/>
    <w:rsid w:val="00CA42F2"/>
    <w:rsid w:val="00CB178A"/>
    <w:rsid w:val="00CB3176"/>
    <w:rsid w:val="00CB49BA"/>
    <w:rsid w:val="00CB7713"/>
    <w:rsid w:val="00CC1E2E"/>
    <w:rsid w:val="00CC3368"/>
    <w:rsid w:val="00CC3688"/>
    <w:rsid w:val="00CC4D2A"/>
    <w:rsid w:val="00CC5D69"/>
    <w:rsid w:val="00CC60C3"/>
    <w:rsid w:val="00CC6638"/>
    <w:rsid w:val="00CC6768"/>
    <w:rsid w:val="00CC71E0"/>
    <w:rsid w:val="00CC77C7"/>
    <w:rsid w:val="00CC77EC"/>
    <w:rsid w:val="00CC7DEE"/>
    <w:rsid w:val="00CD081F"/>
    <w:rsid w:val="00CD1596"/>
    <w:rsid w:val="00CD16EB"/>
    <w:rsid w:val="00CD48BC"/>
    <w:rsid w:val="00CD5AB7"/>
    <w:rsid w:val="00CE0376"/>
    <w:rsid w:val="00CE03AF"/>
    <w:rsid w:val="00CE275B"/>
    <w:rsid w:val="00CE31E1"/>
    <w:rsid w:val="00CE3C9E"/>
    <w:rsid w:val="00CE4B00"/>
    <w:rsid w:val="00CE5066"/>
    <w:rsid w:val="00CE5195"/>
    <w:rsid w:val="00CE5363"/>
    <w:rsid w:val="00CE5527"/>
    <w:rsid w:val="00CE5EB1"/>
    <w:rsid w:val="00CE6452"/>
    <w:rsid w:val="00CE73D3"/>
    <w:rsid w:val="00CE7CBE"/>
    <w:rsid w:val="00CF0A95"/>
    <w:rsid w:val="00CF1383"/>
    <w:rsid w:val="00CF3600"/>
    <w:rsid w:val="00CF3F12"/>
    <w:rsid w:val="00CF602E"/>
    <w:rsid w:val="00CF7315"/>
    <w:rsid w:val="00CF7D6B"/>
    <w:rsid w:val="00D00236"/>
    <w:rsid w:val="00D00243"/>
    <w:rsid w:val="00D002D3"/>
    <w:rsid w:val="00D0068F"/>
    <w:rsid w:val="00D015D4"/>
    <w:rsid w:val="00D01A5B"/>
    <w:rsid w:val="00D03D88"/>
    <w:rsid w:val="00D044E2"/>
    <w:rsid w:val="00D04A46"/>
    <w:rsid w:val="00D0508C"/>
    <w:rsid w:val="00D0599D"/>
    <w:rsid w:val="00D06537"/>
    <w:rsid w:val="00D06774"/>
    <w:rsid w:val="00D06D78"/>
    <w:rsid w:val="00D07C1C"/>
    <w:rsid w:val="00D104F7"/>
    <w:rsid w:val="00D1300F"/>
    <w:rsid w:val="00D131EE"/>
    <w:rsid w:val="00D132FE"/>
    <w:rsid w:val="00D15DBF"/>
    <w:rsid w:val="00D16619"/>
    <w:rsid w:val="00D16707"/>
    <w:rsid w:val="00D1717D"/>
    <w:rsid w:val="00D171C4"/>
    <w:rsid w:val="00D17214"/>
    <w:rsid w:val="00D203DD"/>
    <w:rsid w:val="00D20610"/>
    <w:rsid w:val="00D20EB1"/>
    <w:rsid w:val="00D21BF1"/>
    <w:rsid w:val="00D22C76"/>
    <w:rsid w:val="00D22FE6"/>
    <w:rsid w:val="00D23546"/>
    <w:rsid w:val="00D2370C"/>
    <w:rsid w:val="00D27E67"/>
    <w:rsid w:val="00D30888"/>
    <w:rsid w:val="00D31481"/>
    <w:rsid w:val="00D3223C"/>
    <w:rsid w:val="00D332CE"/>
    <w:rsid w:val="00D33E6D"/>
    <w:rsid w:val="00D40BCD"/>
    <w:rsid w:val="00D43B5F"/>
    <w:rsid w:val="00D444F3"/>
    <w:rsid w:val="00D4466F"/>
    <w:rsid w:val="00D44F62"/>
    <w:rsid w:val="00D47DE1"/>
    <w:rsid w:val="00D5006E"/>
    <w:rsid w:val="00D502CA"/>
    <w:rsid w:val="00D50E57"/>
    <w:rsid w:val="00D5138E"/>
    <w:rsid w:val="00D51BEB"/>
    <w:rsid w:val="00D52AC1"/>
    <w:rsid w:val="00D52BE5"/>
    <w:rsid w:val="00D538B8"/>
    <w:rsid w:val="00D53EF7"/>
    <w:rsid w:val="00D54BEA"/>
    <w:rsid w:val="00D55DA9"/>
    <w:rsid w:val="00D5638A"/>
    <w:rsid w:val="00D56759"/>
    <w:rsid w:val="00D57653"/>
    <w:rsid w:val="00D57A79"/>
    <w:rsid w:val="00D6005C"/>
    <w:rsid w:val="00D63076"/>
    <w:rsid w:val="00D632A6"/>
    <w:rsid w:val="00D637B4"/>
    <w:rsid w:val="00D6443B"/>
    <w:rsid w:val="00D654A6"/>
    <w:rsid w:val="00D654E5"/>
    <w:rsid w:val="00D6569A"/>
    <w:rsid w:val="00D661D1"/>
    <w:rsid w:val="00D669A1"/>
    <w:rsid w:val="00D66ECF"/>
    <w:rsid w:val="00D67A69"/>
    <w:rsid w:val="00D715A3"/>
    <w:rsid w:val="00D721D2"/>
    <w:rsid w:val="00D7239F"/>
    <w:rsid w:val="00D73987"/>
    <w:rsid w:val="00D74C5D"/>
    <w:rsid w:val="00D74E80"/>
    <w:rsid w:val="00D761FA"/>
    <w:rsid w:val="00D76508"/>
    <w:rsid w:val="00D8047D"/>
    <w:rsid w:val="00D81054"/>
    <w:rsid w:val="00D81431"/>
    <w:rsid w:val="00D81787"/>
    <w:rsid w:val="00D82020"/>
    <w:rsid w:val="00D851F2"/>
    <w:rsid w:val="00D8635D"/>
    <w:rsid w:val="00D8681D"/>
    <w:rsid w:val="00D86E09"/>
    <w:rsid w:val="00D90513"/>
    <w:rsid w:val="00D926EE"/>
    <w:rsid w:val="00D92E61"/>
    <w:rsid w:val="00D93C78"/>
    <w:rsid w:val="00D942F4"/>
    <w:rsid w:val="00D94DEA"/>
    <w:rsid w:val="00D96D87"/>
    <w:rsid w:val="00D97D00"/>
    <w:rsid w:val="00DA0AD2"/>
    <w:rsid w:val="00DA2378"/>
    <w:rsid w:val="00DA3657"/>
    <w:rsid w:val="00DA41CB"/>
    <w:rsid w:val="00DA5A7E"/>
    <w:rsid w:val="00DA5AB2"/>
    <w:rsid w:val="00DA68D9"/>
    <w:rsid w:val="00DA79C4"/>
    <w:rsid w:val="00DB1E48"/>
    <w:rsid w:val="00DB33DB"/>
    <w:rsid w:val="00DB35AE"/>
    <w:rsid w:val="00DB4785"/>
    <w:rsid w:val="00DB59FA"/>
    <w:rsid w:val="00DB6DD2"/>
    <w:rsid w:val="00DB6F11"/>
    <w:rsid w:val="00DC04B3"/>
    <w:rsid w:val="00DC0D31"/>
    <w:rsid w:val="00DC191F"/>
    <w:rsid w:val="00DC2DEA"/>
    <w:rsid w:val="00DC2E36"/>
    <w:rsid w:val="00DC30D5"/>
    <w:rsid w:val="00DC36AC"/>
    <w:rsid w:val="00DC445D"/>
    <w:rsid w:val="00DC463D"/>
    <w:rsid w:val="00DC5DA6"/>
    <w:rsid w:val="00DC61C9"/>
    <w:rsid w:val="00DC703B"/>
    <w:rsid w:val="00DD2308"/>
    <w:rsid w:val="00DD2CF7"/>
    <w:rsid w:val="00DD3958"/>
    <w:rsid w:val="00DD4C57"/>
    <w:rsid w:val="00DD4E05"/>
    <w:rsid w:val="00DD69C8"/>
    <w:rsid w:val="00DD6C92"/>
    <w:rsid w:val="00DD74C9"/>
    <w:rsid w:val="00DE0036"/>
    <w:rsid w:val="00DE0377"/>
    <w:rsid w:val="00DE06C1"/>
    <w:rsid w:val="00DE1130"/>
    <w:rsid w:val="00DE2102"/>
    <w:rsid w:val="00DE72FA"/>
    <w:rsid w:val="00DF04AE"/>
    <w:rsid w:val="00DF146A"/>
    <w:rsid w:val="00DF6762"/>
    <w:rsid w:val="00DF6D1E"/>
    <w:rsid w:val="00DF6E31"/>
    <w:rsid w:val="00DF6F60"/>
    <w:rsid w:val="00DF7E23"/>
    <w:rsid w:val="00E00E84"/>
    <w:rsid w:val="00E0157E"/>
    <w:rsid w:val="00E0168D"/>
    <w:rsid w:val="00E016AB"/>
    <w:rsid w:val="00E016C9"/>
    <w:rsid w:val="00E0479E"/>
    <w:rsid w:val="00E05BC6"/>
    <w:rsid w:val="00E06A02"/>
    <w:rsid w:val="00E06B2B"/>
    <w:rsid w:val="00E0726B"/>
    <w:rsid w:val="00E07384"/>
    <w:rsid w:val="00E10C6E"/>
    <w:rsid w:val="00E13369"/>
    <w:rsid w:val="00E138D4"/>
    <w:rsid w:val="00E14B86"/>
    <w:rsid w:val="00E15174"/>
    <w:rsid w:val="00E15617"/>
    <w:rsid w:val="00E15E12"/>
    <w:rsid w:val="00E161CA"/>
    <w:rsid w:val="00E172BC"/>
    <w:rsid w:val="00E20162"/>
    <w:rsid w:val="00E20BE2"/>
    <w:rsid w:val="00E21A43"/>
    <w:rsid w:val="00E21DB9"/>
    <w:rsid w:val="00E21F53"/>
    <w:rsid w:val="00E22A4D"/>
    <w:rsid w:val="00E238C3"/>
    <w:rsid w:val="00E23F13"/>
    <w:rsid w:val="00E300DA"/>
    <w:rsid w:val="00E303F9"/>
    <w:rsid w:val="00E30CB8"/>
    <w:rsid w:val="00E30EB6"/>
    <w:rsid w:val="00E33526"/>
    <w:rsid w:val="00E33A8A"/>
    <w:rsid w:val="00E343BB"/>
    <w:rsid w:val="00E35A11"/>
    <w:rsid w:val="00E419AE"/>
    <w:rsid w:val="00E41C5A"/>
    <w:rsid w:val="00E4256A"/>
    <w:rsid w:val="00E43074"/>
    <w:rsid w:val="00E4508D"/>
    <w:rsid w:val="00E4591F"/>
    <w:rsid w:val="00E47EC7"/>
    <w:rsid w:val="00E5079D"/>
    <w:rsid w:val="00E50AFD"/>
    <w:rsid w:val="00E50B3F"/>
    <w:rsid w:val="00E51FE4"/>
    <w:rsid w:val="00E531DE"/>
    <w:rsid w:val="00E53CC8"/>
    <w:rsid w:val="00E545A9"/>
    <w:rsid w:val="00E5523A"/>
    <w:rsid w:val="00E55529"/>
    <w:rsid w:val="00E56C08"/>
    <w:rsid w:val="00E57963"/>
    <w:rsid w:val="00E6052B"/>
    <w:rsid w:val="00E6052E"/>
    <w:rsid w:val="00E60C28"/>
    <w:rsid w:val="00E6143D"/>
    <w:rsid w:val="00E62B9A"/>
    <w:rsid w:val="00E63972"/>
    <w:rsid w:val="00E662CB"/>
    <w:rsid w:val="00E66A61"/>
    <w:rsid w:val="00E66CDF"/>
    <w:rsid w:val="00E6747A"/>
    <w:rsid w:val="00E675E2"/>
    <w:rsid w:val="00E67D3B"/>
    <w:rsid w:val="00E710F1"/>
    <w:rsid w:val="00E719D6"/>
    <w:rsid w:val="00E71E4F"/>
    <w:rsid w:val="00E71FF1"/>
    <w:rsid w:val="00E72658"/>
    <w:rsid w:val="00E74895"/>
    <w:rsid w:val="00E74A89"/>
    <w:rsid w:val="00E74BC8"/>
    <w:rsid w:val="00E75D70"/>
    <w:rsid w:val="00E765C2"/>
    <w:rsid w:val="00E81A25"/>
    <w:rsid w:val="00E83710"/>
    <w:rsid w:val="00E84517"/>
    <w:rsid w:val="00E85788"/>
    <w:rsid w:val="00E871AE"/>
    <w:rsid w:val="00E876C9"/>
    <w:rsid w:val="00E87704"/>
    <w:rsid w:val="00E87CCB"/>
    <w:rsid w:val="00E87EB7"/>
    <w:rsid w:val="00E91BEC"/>
    <w:rsid w:val="00E9264C"/>
    <w:rsid w:val="00E943E7"/>
    <w:rsid w:val="00E94FB6"/>
    <w:rsid w:val="00E97240"/>
    <w:rsid w:val="00EA113A"/>
    <w:rsid w:val="00EA115D"/>
    <w:rsid w:val="00EA26D2"/>
    <w:rsid w:val="00EA3C6C"/>
    <w:rsid w:val="00EA4238"/>
    <w:rsid w:val="00EA4CC9"/>
    <w:rsid w:val="00EA5468"/>
    <w:rsid w:val="00EA579C"/>
    <w:rsid w:val="00EA59E0"/>
    <w:rsid w:val="00EA6292"/>
    <w:rsid w:val="00EA6F23"/>
    <w:rsid w:val="00EA72C1"/>
    <w:rsid w:val="00EA7737"/>
    <w:rsid w:val="00EA781B"/>
    <w:rsid w:val="00EB04BE"/>
    <w:rsid w:val="00EB08B7"/>
    <w:rsid w:val="00EB0A7D"/>
    <w:rsid w:val="00EB0FED"/>
    <w:rsid w:val="00EB1A4D"/>
    <w:rsid w:val="00EB21E9"/>
    <w:rsid w:val="00EB4E02"/>
    <w:rsid w:val="00EB5CE7"/>
    <w:rsid w:val="00EB619B"/>
    <w:rsid w:val="00EB6D3A"/>
    <w:rsid w:val="00EB7D0D"/>
    <w:rsid w:val="00EC07B9"/>
    <w:rsid w:val="00EC0AD1"/>
    <w:rsid w:val="00EC2A5A"/>
    <w:rsid w:val="00EC2CFF"/>
    <w:rsid w:val="00EC36B4"/>
    <w:rsid w:val="00EC3889"/>
    <w:rsid w:val="00EC488C"/>
    <w:rsid w:val="00EC4D9A"/>
    <w:rsid w:val="00EC5CCD"/>
    <w:rsid w:val="00EC6151"/>
    <w:rsid w:val="00EC7265"/>
    <w:rsid w:val="00EC7DB4"/>
    <w:rsid w:val="00ED388A"/>
    <w:rsid w:val="00ED492F"/>
    <w:rsid w:val="00ED4F93"/>
    <w:rsid w:val="00ED53C4"/>
    <w:rsid w:val="00ED6717"/>
    <w:rsid w:val="00ED7E15"/>
    <w:rsid w:val="00EE1AB4"/>
    <w:rsid w:val="00EE418E"/>
    <w:rsid w:val="00EE438B"/>
    <w:rsid w:val="00EF0170"/>
    <w:rsid w:val="00EF0B31"/>
    <w:rsid w:val="00EF1CE3"/>
    <w:rsid w:val="00EF1F1D"/>
    <w:rsid w:val="00EF4DDF"/>
    <w:rsid w:val="00EF5C53"/>
    <w:rsid w:val="00EF6607"/>
    <w:rsid w:val="00F00708"/>
    <w:rsid w:val="00F00AFB"/>
    <w:rsid w:val="00F0198E"/>
    <w:rsid w:val="00F01B52"/>
    <w:rsid w:val="00F0220E"/>
    <w:rsid w:val="00F029EA"/>
    <w:rsid w:val="00F02EDA"/>
    <w:rsid w:val="00F03215"/>
    <w:rsid w:val="00F061CF"/>
    <w:rsid w:val="00F0717E"/>
    <w:rsid w:val="00F074F0"/>
    <w:rsid w:val="00F0780D"/>
    <w:rsid w:val="00F07CFF"/>
    <w:rsid w:val="00F1010A"/>
    <w:rsid w:val="00F115BE"/>
    <w:rsid w:val="00F12894"/>
    <w:rsid w:val="00F13F00"/>
    <w:rsid w:val="00F148D0"/>
    <w:rsid w:val="00F14C56"/>
    <w:rsid w:val="00F14E71"/>
    <w:rsid w:val="00F1532E"/>
    <w:rsid w:val="00F15A8D"/>
    <w:rsid w:val="00F15DF5"/>
    <w:rsid w:val="00F162B7"/>
    <w:rsid w:val="00F17D2B"/>
    <w:rsid w:val="00F2146A"/>
    <w:rsid w:val="00F2271E"/>
    <w:rsid w:val="00F23A77"/>
    <w:rsid w:val="00F2441F"/>
    <w:rsid w:val="00F264D9"/>
    <w:rsid w:val="00F26956"/>
    <w:rsid w:val="00F26EAC"/>
    <w:rsid w:val="00F30EE2"/>
    <w:rsid w:val="00F33F69"/>
    <w:rsid w:val="00F34429"/>
    <w:rsid w:val="00F34B13"/>
    <w:rsid w:val="00F34E71"/>
    <w:rsid w:val="00F352B7"/>
    <w:rsid w:val="00F358B0"/>
    <w:rsid w:val="00F364A3"/>
    <w:rsid w:val="00F36ED8"/>
    <w:rsid w:val="00F40E0B"/>
    <w:rsid w:val="00F442C8"/>
    <w:rsid w:val="00F447BC"/>
    <w:rsid w:val="00F44BAC"/>
    <w:rsid w:val="00F44E1D"/>
    <w:rsid w:val="00F452DF"/>
    <w:rsid w:val="00F463D5"/>
    <w:rsid w:val="00F4691F"/>
    <w:rsid w:val="00F4744B"/>
    <w:rsid w:val="00F50412"/>
    <w:rsid w:val="00F50A28"/>
    <w:rsid w:val="00F51378"/>
    <w:rsid w:val="00F52017"/>
    <w:rsid w:val="00F528DC"/>
    <w:rsid w:val="00F52D98"/>
    <w:rsid w:val="00F533FB"/>
    <w:rsid w:val="00F53ACE"/>
    <w:rsid w:val="00F543EA"/>
    <w:rsid w:val="00F54A6C"/>
    <w:rsid w:val="00F54C1E"/>
    <w:rsid w:val="00F570DE"/>
    <w:rsid w:val="00F60590"/>
    <w:rsid w:val="00F60798"/>
    <w:rsid w:val="00F63CFB"/>
    <w:rsid w:val="00F63DAF"/>
    <w:rsid w:val="00F7082A"/>
    <w:rsid w:val="00F70EB3"/>
    <w:rsid w:val="00F70F1B"/>
    <w:rsid w:val="00F71924"/>
    <w:rsid w:val="00F75522"/>
    <w:rsid w:val="00F81A72"/>
    <w:rsid w:val="00F825A7"/>
    <w:rsid w:val="00F838E8"/>
    <w:rsid w:val="00F83C37"/>
    <w:rsid w:val="00F8501D"/>
    <w:rsid w:val="00F905DC"/>
    <w:rsid w:val="00F909D8"/>
    <w:rsid w:val="00F9343C"/>
    <w:rsid w:val="00F94357"/>
    <w:rsid w:val="00F97C1A"/>
    <w:rsid w:val="00FA00DF"/>
    <w:rsid w:val="00FA1273"/>
    <w:rsid w:val="00FA25AD"/>
    <w:rsid w:val="00FA2CD9"/>
    <w:rsid w:val="00FA5581"/>
    <w:rsid w:val="00FA67EA"/>
    <w:rsid w:val="00FA75F6"/>
    <w:rsid w:val="00FB104B"/>
    <w:rsid w:val="00FB2149"/>
    <w:rsid w:val="00FB263E"/>
    <w:rsid w:val="00FB289A"/>
    <w:rsid w:val="00FB29C3"/>
    <w:rsid w:val="00FB2AF0"/>
    <w:rsid w:val="00FB3498"/>
    <w:rsid w:val="00FB3A8E"/>
    <w:rsid w:val="00FB4C53"/>
    <w:rsid w:val="00FB56CB"/>
    <w:rsid w:val="00FB6294"/>
    <w:rsid w:val="00FB67ED"/>
    <w:rsid w:val="00FB6D23"/>
    <w:rsid w:val="00FC0FFE"/>
    <w:rsid w:val="00FC13C6"/>
    <w:rsid w:val="00FC1AEA"/>
    <w:rsid w:val="00FC1B38"/>
    <w:rsid w:val="00FC1DB7"/>
    <w:rsid w:val="00FC222C"/>
    <w:rsid w:val="00FC2DA5"/>
    <w:rsid w:val="00FC39E7"/>
    <w:rsid w:val="00FC3FB5"/>
    <w:rsid w:val="00FC5095"/>
    <w:rsid w:val="00FC631E"/>
    <w:rsid w:val="00FC65D8"/>
    <w:rsid w:val="00FC6CE3"/>
    <w:rsid w:val="00FD02A1"/>
    <w:rsid w:val="00FD41C1"/>
    <w:rsid w:val="00FE183A"/>
    <w:rsid w:val="00FE185B"/>
    <w:rsid w:val="00FE57D0"/>
    <w:rsid w:val="00FE5F7B"/>
    <w:rsid w:val="00FE755D"/>
    <w:rsid w:val="00FE78D8"/>
    <w:rsid w:val="00FF11A5"/>
    <w:rsid w:val="00FF1912"/>
    <w:rsid w:val="00FF4566"/>
    <w:rsid w:val="00FF4D92"/>
    <w:rsid w:val="00FF50D9"/>
    <w:rsid w:val="00FF55A3"/>
    <w:rsid w:val="00FF6E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B24F5"/>
    <w:rPr>
      <w:sz w:val="24"/>
      <w:szCs w:val="24"/>
    </w:rPr>
  </w:style>
  <w:style w:type="paragraph" w:styleId="Heading1">
    <w:name w:val="heading 1"/>
    <w:aliases w:val="ESR Heading 1"/>
    <w:basedOn w:val="Normal"/>
    <w:next w:val="BodyText"/>
    <w:link w:val="Heading1Char"/>
    <w:uiPriority w:val="99"/>
    <w:qFormat/>
    <w:rsid w:val="006B24F5"/>
    <w:pPr>
      <w:keepNext/>
      <w:tabs>
        <w:tab w:val="left" w:pos="839"/>
      </w:tabs>
      <w:spacing w:before="360" w:after="200"/>
      <w:ind w:left="839" w:hanging="839"/>
      <w:outlineLvl w:val="0"/>
    </w:pPr>
    <w:rPr>
      <w:rFonts w:ascii="Times New Roman Bold" w:hAnsi="Times New Roman Bold"/>
      <w:b/>
      <w:caps/>
      <w:szCs w:val="20"/>
      <w:lang w:val="en-GB"/>
    </w:rPr>
  </w:style>
  <w:style w:type="paragraph" w:styleId="Heading2">
    <w:name w:val="heading 2"/>
    <w:basedOn w:val="Heading1"/>
    <w:next w:val="BodyText"/>
    <w:link w:val="Heading2Char"/>
    <w:uiPriority w:val="99"/>
    <w:qFormat/>
    <w:rsid w:val="006B24F5"/>
    <w:pPr>
      <w:numPr>
        <w:ilvl w:val="1"/>
      </w:numPr>
      <w:tabs>
        <w:tab w:val="num" w:pos="1440"/>
      </w:tabs>
      <w:ind w:left="1440" w:hanging="360"/>
      <w:jc w:val="both"/>
      <w:outlineLvl w:val="1"/>
    </w:pPr>
    <w:rPr>
      <w:caps w:val="0"/>
    </w:rPr>
  </w:style>
  <w:style w:type="paragraph" w:styleId="Heading3">
    <w:name w:val="heading 3"/>
    <w:basedOn w:val="Heading2"/>
    <w:next w:val="BodyText"/>
    <w:link w:val="Heading3Char"/>
    <w:uiPriority w:val="99"/>
    <w:qFormat/>
    <w:rsid w:val="006B24F5"/>
    <w:pPr>
      <w:numPr>
        <w:ilvl w:val="2"/>
      </w:numPr>
      <w:tabs>
        <w:tab w:val="num" w:pos="1440"/>
        <w:tab w:val="num" w:pos="2160"/>
      </w:tabs>
      <w:ind w:left="2160" w:hanging="180"/>
      <w:jc w:val="left"/>
      <w:outlineLvl w:val="2"/>
    </w:pPr>
  </w:style>
  <w:style w:type="paragraph" w:styleId="Heading4">
    <w:name w:val="heading 4"/>
    <w:basedOn w:val="Heading3"/>
    <w:next w:val="BodyText"/>
    <w:link w:val="Heading4Char"/>
    <w:uiPriority w:val="99"/>
    <w:qFormat/>
    <w:rsid w:val="006B24F5"/>
    <w:pPr>
      <w:numPr>
        <w:ilvl w:val="3"/>
      </w:numPr>
      <w:tabs>
        <w:tab w:val="num" w:pos="1077"/>
        <w:tab w:val="num" w:pos="1440"/>
        <w:tab w:val="num" w:pos="2880"/>
      </w:tabs>
      <w:ind w:left="1077" w:hanging="1077"/>
      <w:outlineLvl w:val="3"/>
    </w:pPr>
  </w:style>
  <w:style w:type="paragraph" w:styleId="Heading5">
    <w:name w:val="heading 5"/>
    <w:basedOn w:val="Heading4"/>
    <w:next w:val="BodyText"/>
    <w:link w:val="Heading5Char"/>
    <w:uiPriority w:val="99"/>
    <w:qFormat/>
    <w:rsid w:val="006B24F5"/>
    <w:pPr>
      <w:numPr>
        <w:ilvl w:val="4"/>
      </w:numPr>
      <w:tabs>
        <w:tab w:val="left" w:pos="1077"/>
        <w:tab w:val="num" w:pos="1843"/>
        <w:tab w:val="num" w:pos="3600"/>
      </w:tabs>
      <w:ind w:left="3600" w:hanging="360"/>
      <w:outlineLvl w:val="4"/>
    </w:pPr>
  </w:style>
  <w:style w:type="paragraph" w:styleId="Heading6">
    <w:name w:val="heading 6"/>
    <w:basedOn w:val="Normal"/>
    <w:next w:val="BodyText"/>
    <w:link w:val="Heading6Char"/>
    <w:uiPriority w:val="99"/>
    <w:qFormat/>
    <w:rsid w:val="006B24F5"/>
    <w:pPr>
      <w:keepNext/>
      <w:spacing w:after="200"/>
      <w:outlineLvl w:val="5"/>
    </w:pPr>
    <w:rPr>
      <w:rFonts w:ascii="Times New Roman Bold" w:hAnsi="Times New Roman Bold"/>
      <w:b/>
      <w:caps/>
      <w:szCs w:val="20"/>
      <w:lang w:val="en-GB"/>
    </w:rPr>
  </w:style>
  <w:style w:type="paragraph" w:styleId="Heading7">
    <w:name w:val="heading 7"/>
    <w:basedOn w:val="Normal"/>
    <w:next w:val="BodyText"/>
    <w:link w:val="Heading7Char"/>
    <w:uiPriority w:val="99"/>
    <w:qFormat/>
    <w:rsid w:val="006B24F5"/>
    <w:pPr>
      <w:keepNext/>
      <w:spacing w:after="180"/>
      <w:outlineLvl w:val="6"/>
    </w:pPr>
    <w:rPr>
      <w:rFonts w:ascii="Times New Roman Bold" w:hAnsi="Times New Roman Bold"/>
      <w:b/>
      <w:szCs w:val="20"/>
      <w:lang w:val="en-GB"/>
    </w:rPr>
  </w:style>
  <w:style w:type="paragraph" w:styleId="Heading8">
    <w:name w:val="heading 8"/>
    <w:basedOn w:val="Normal"/>
    <w:next w:val="BodyText"/>
    <w:link w:val="Heading8Char"/>
    <w:uiPriority w:val="99"/>
    <w:qFormat/>
    <w:rsid w:val="006B24F5"/>
    <w:pPr>
      <w:keepNext/>
      <w:spacing w:after="180"/>
      <w:outlineLvl w:val="7"/>
    </w:pPr>
    <w:rPr>
      <w:u w:val="single"/>
      <w:lang w:val="en-GB"/>
    </w:rPr>
  </w:style>
  <w:style w:type="paragraph" w:styleId="Heading9">
    <w:name w:val="heading 9"/>
    <w:basedOn w:val="Normal"/>
    <w:next w:val="BodyText"/>
    <w:link w:val="Heading9Char"/>
    <w:uiPriority w:val="99"/>
    <w:qFormat/>
    <w:rsid w:val="006B24F5"/>
    <w:pPr>
      <w:keepNext/>
      <w:spacing w:after="180"/>
      <w:outlineLvl w:val="8"/>
    </w:pPr>
    <w:rPr>
      <w:i/>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SR Heading 1 Char"/>
    <w:link w:val="Heading1"/>
    <w:uiPriority w:val="99"/>
    <w:locked/>
    <w:rsid w:val="00CE5363"/>
    <w:rPr>
      <w:rFonts w:ascii="Times New Roman Bold" w:hAnsi="Times New Roman Bold" w:cs="Times New Roman"/>
      <w:b/>
      <w:caps/>
      <w:sz w:val="20"/>
      <w:szCs w:val="20"/>
      <w:lang w:val="en-GB"/>
    </w:rPr>
  </w:style>
  <w:style w:type="character" w:customStyle="1" w:styleId="Heading2Char">
    <w:name w:val="Heading 2 Char"/>
    <w:link w:val="Heading2"/>
    <w:uiPriority w:val="99"/>
    <w:locked/>
    <w:rsid w:val="00CE5363"/>
    <w:rPr>
      <w:rFonts w:ascii="Times New Roman Bold" w:hAnsi="Times New Roman Bold" w:cs="Times New Roman"/>
      <w:b/>
      <w:sz w:val="24"/>
      <w:lang w:val="en-GB" w:eastAsia="en-US" w:bidi="ar-SA"/>
    </w:rPr>
  </w:style>
  <w:style w:type="character" w:customStyle="1" w:styleId="Heading3Char">
    <w:name w:val="Heading 3 Char"/>
    <w:link w:val="Heading3"/>
    <w:uiPriority w:val="99"/>
    <w:locked/>
    <w:rsid w:val="00CE5363"/>
    <w:rPr>
      <w:rFonts w:ascii="Times New Roman Bold" w:hAnsi="Times New Roman Bold" w:cs="Times New Roman"/>
      <w:b/>
      <w:sz w:val="24"/>
      <w:lang w:val="en-GB" w:eastAsia="en-US" w:bidi="ar-SA"/>
    </w:rPr>
  </w:style>
  <w:style w:type="character" w:customStyle="1" w:styleId="Heading4Char">
    <w:name w:val="Heading 4 Char"/>
    <w:link w:val="Heading4"/>
    <w:uiPriority w:val="99"/>
    <w:locked/>
    <w:rsid w:val="00CE5363"/>
    <w:rPr>
      <w:rFonts w:ascii="Times New Roman Bold" w:hAnsi="Times New Roman Bold" w:cs="Times New Roman"/>
      <w:b/>
      <w:sz w:val="24"/>
      <w:lang w:val="en-GB" w:eastAsia="en-US" w:bidi="ar-SA"/>
    </w:rPr>
  </w:style>
  <w:style w:type="character" w:customStyle="1" w:styleId="Heading5Char">
    <w:name w:val="Heading 5 Char"/>
    <w:link w:val="Heading5"/>
    <w:uiPriority w:val="99"/>
    <w:locked/>
    <w:rsid w:val="00CE5363"/>
    <w:rPr>
      <w:rFonts w:ascii="Times New Roman Bold" w:hAnsi="Times New Roman Bold" w:cs="Times New Roman"/>
      <w:b/>
      <w:sz w:val="24"/>
      <w:lang w:val="en-GB" w:eastAsia="en-US" w:bidi="ar-SA"/>
    </w:rPr>
  </w:style>
  <w:style w:type="character" w:customStyle="1" w:styleId="Heading6Char">
    <w:name w:val="Heading 6 Char"/>
    <w:link w:val="Heading6"/>
    <w:uiPriority w:val="99"/>
    <w:semiHidden/>
    <w:locked/>
    <w:rsid w:val="00CE5363"/>
    <w:rPr>
      <w:rFonts w:ascii="Calibri" w:hAnsi="Calibri" w:cs="Times New Roman"/>
      <w:b/>
      <w:bCs/>
    </w:rPr>
  </w:style>
  <w:style w:type="character" w:customStyle="1" w:styleId="Heading7Char">
    <w:name w:val="Heading 7 Char"/>
    <w:link w:val="Heading7"/>
    <w:uiPriority w:val="99"/>
    <w:semiHidden/>
    <w:locked/>
    <w:rsid w:val="00CE5363"/>
    <w:rPr>
      <w:rFonts w:ascii="Calibri" w:hAnsi="Calibri" w:cs="Times New Roman"/>
      <w:sz w:val="24"/>
      <w:szCs w:val="24"/>
    </w:rPr>
  </w:style>
  <w:style w:type="character" w:customStyle="1" w:styleId="Heading8Char">
    <w:name w:val="Heading 8 Char"/>
    <w:link w:val="Heading8"/>
    <w:uiPriority w:val="99"/>
    <w:semiHidden/>
    <w:locked/>
    <w:rsid w:val="00CE5363"/>
    <w:rPr>
      <w:rFonts w:ascii="Calibri" w:hAnsi="Calibri" w:cs="Times New Roman"/>
      <w:i/>
      <w:iCs/>
      <w:sz w:val="24"/>
      <w:szCs w:val="24"/>
    </w:rPr>
  </w:style>
  <w:style w:type="character" w:customStyle="1" w:styleId="Heading9Char">
    <w:name w:val="Heading 9 Char"/>
    <w:link w:val="Heading9"/>
    <w:uiPriority w:val="99"/>
    <w:semiHidden/>
    <w:locked/>
    <w:rsid w:val="00CE5363"/>
    <w:rPr>
      <w:rFonts w:ascii="Cambria" w:hAnsi="Cambria" w:cs="Times New Roman"/>
    </w:rPr>
  </w:style>
  <w:style w:type="paragraph" w:styleId="BodyText">
    <w:name w:val="Body Text"/>
    <w:aliases w:val="Char Char Char,Char,Char Char Char Cha Char Char,Char Char Char Cha Char Char Char C,Char Char Char Cha,Char Char Char Cha Char,Char Char Char Cha Char Char Char C Char Char Char, Char Char Char, Char, Char Char Char Cha Char Char"/>
    <w:basedOn w:val="Normal"/>
    <w:link w:val="BodyTextChar1"/>
    <w:rsid w:val="006B24F5"/>
    <w:pPr>
      <w:spacing w:after="180"/>
      <w:jc w:val="both"/>
    </w:pPr>
    <w:rPr>
      <w:szCs w:val="20"/>
      <w:lang w:val="en-GB"/>
    </w:rPr>
  </w:style>
  <w:style w:type="character" w:customStyle="1" w:styleId="BodyTextChar">
    <w:name w:val="Body Text Char"/>
    <w:aliases w:val="Char Char Char Char,Char Char,Char Char Char Cha Char Char Char,Char Char Char Cha Char Char Char C Char,Char Char Char Cha Char1,Char Char Char Cha Char Char1,Char Char Char Cha Char Char Char C Char Char Char Char"/>
    <w:locked/>
    <w:rsid w:val="00411776"/>
    <w:rPr>
      <w:rFonts w:cs="Times New Roman"/>
      <w:sz w:val="24"/>
      <w:lang w:val="en-GB" w:eastAsia="en-US" w:bidi="ar-SA"/>
    </w:rPr>
  </w:style>
  <w:style w:type="paragraph" w:customStyle="1" w:styleId="Tabletitle">
    <w:name w:val="Table title"/>
    <w:basedOn w:val="Normal"/>
    <w:next w:val="Normal"/>
    <w:rsid w:val="006B24F5"/>
  </w:style>
  <w:style w:type="paragraph" w:customStyle="1" w:styleId="Tabletext">
    <w:name w:val="Table text"/>
    <w:rsid w:val="006B24F5"/>
    <w:pPr>
      <w:keepNext/>
      <w:keepLines/>
      <w:spacing w:before="54" w:after="54"/>
    </w:pPr>
    <w:rPr>
      <w:lang w:eastAsia="da-DK"/>
    </w:rPr>
  </w:style>
  <w:style w:type="paragraph" w:styleId="TOC6">
    <w:name w:val="toc 6"/>
    <w:basedOn w:val="TOC1"/>
    <w:next w:val="Normal"/>
    <w:uiPriority w:val="99"/>
    <w:rsid w:val="006B24F5"/>
    <w:pPr>
      <w:tabs>
        <w:tab w:val="clear" w:pos="284"/>
      </w:tabs>
    </w:pPr>
  </w:style>
  <w:style w:type="paragraph" w:styleId="TOC1">
    <w:name w:val="toc 1"/>
    <w:basedOn w:val="Normal"/>
    <w:next w:val="BodyText"/>
    <w:uiPriority w:val="39"/>
    <w:rsid w:val="006B24F5"/>
    <w:pPr>
      <w:tabs>
        <w:tab w:val="left" w:pos="284"/>
        <w:tab w:val="left" w:leader="dot" w:pos="9214"/>
        <w:tab w:val="right" w:pos="9639"/>
      </w:tabs>
      <w:spacing w:before="240"/>
    </w:pPr>
    <w:rPr>
      <w:caps/>
      <w:noProof/>
      <w:sz w:val="20"/>
      <w:szCs w:val="20"/>
    </w:rPr>
  </w:style>
  <w:style w:type="paragraph" w:styleId="BlockText">
    <w:name w:val="Block Text"/>
    <w:basedOn w:val="BodyText"/>
    <w:next w:val="BodyText"/>
    <w:uiPriority w:val="99"/>
    <w:rsid w:val="006B24F5"/>
    <w:pPr>
      <w:ind w:left="1440" w:right="1440"/>
    </w:pPr>
  </w:style>
  <w:style w:type="paragraph" w:styleId="BodyText2">
    <w:name w:val="Body Text 2"/>
    <w:basedOn w:val="BodyText"/>
    <w:link w:val="BodyText2Char"/>
    <w:uiPriority w:val="99"/>
    <w:rsid w:val="006B24F5"/>
    <w:pPr>
      <w:suppressAutoHyphens/>
      <w:spacing w:after="0"/>
    </w:pPr>
  </w:style>
  <w:style w:type="character" w:customStyle="1" w:styleId="BodyText2Char">
    <w:name w:val="Body Text 2 Char"/>
    <w:link w:val="BodyText2"/>
    <w:uiPriority w:val="99"/>
    <w:semiHidden/>
    <w:locked/>
    <w:rsid w:val="00CE5363"/>
    <w:rPr>
      <w:rFonts w:cs="Times New Roman"/>
      <w:sz w:val="24"/>
      <w:szCs w:val="24"/>
    </w:rPr>
  </w:style>
  <w:style w:type="paragraph" w:styleId="Caption">
    <w:name w:val="caption"/>
    <w:basedOn w:val="Normal"/>
    <w:next w:val="BodyText"/>
    <w:qFormat/>
    <w:rsid w:val="006B24F5"/>
    <w:pPr>
      <w:keepNext/>
      <w:spacing w:before="360" w:after="90"/>
      <w:ind w:left="839"/>
    </w:pPr>
    <w:rPr>
      <w:rFonts w:ascii="Times New Roman Bold" w:hAnsi="Times New Roman Bold"/>
      <w:b/>
      <w:bCs/>
      <w:szCs w:val="20"/>
    </w:rPr>
  </w:style>
  <w:style w:type="paragraph" w:styleId="Title">
    <w:name w:val="Title"/>
    <w:basedOn w:val="Normal"/>
    <w:next w:val="BodyText"/>
    <w:link w:val="TitleChar"/>
    <w:uiPriority w:val="99"/>
    <w:qFormat/>
    <w:rsid w:val="006B24F5"/>
    <w:pPr>
      <w:spacing w:before="3120" w:after="320"/>
      <w:jc w:val="center"/>
      <w:outlineLvl w:val="0"/>
    </w:pPr>
    <w:rPr>
      <w:rFonts w:ascii="Algerian" w:hAnsi="Algerian" w:cs="Arial"/>
      <w:b/>
      <w:bCs/>
      <w:i/>
      <w:kern w:val="28"/>
      <w:sz w:val="72"/>
      <w:szCs w:val="32"/>
      <w:lang w:val="en-GB"/>
    </w:rPr>
  </w:style>
  <w:style w:type="character" w:customStyle="1" w:styleId="TitleChar">
    <w:name w:val="Title Char"/>
    <w:link w:val="Title"/>
    <w:uiPriority w:val="99"/>
    <w:locked/>
    <w:rsid w:val="00CE5363"/>
    <w:rPr>
      <w:rFonts w:ascii="Cambria" w:hAnsi="Cambria" w:cs="Times New Roman"/>
      <w:b/>
      <w:bCs/>
      <w:kern w:val="28"/>
      <w:sz w:val="32"/>
      <w:szCs w:val="32"/>
    </w:rPr>
  </w:style>
  <w:style w:type="paragraph" w:styleId="Subtitle">
    <w:name w:val="Subtitle"/>
    <w:basedOn w:val="Normal"/>
    <w:next w:val="BodyText"/>
    <w:link w:val="SubtitleChar"/>
    <w:uiPriority w:val="99"/>
    <w:qFormat/>
    <w:rsid w:val="006B24F5"/>
    <w:pPr>
      <w:jc w:val="center"/>
      <w:outlineLvl w:val="1"/>
    </w:pPr>
    <w:rPr>
      <w:rFonts w:ascii="Algerian" w:hAnsi="Algerian"/>
      <w:b/>
      <w:i/>
      <w:sz w:val="40"/>
      <w:szCs w:val="20"/>
    </w:rPr>
  </w:style>
  <w:style w:type="character" w:customStyle="1" w:styleId="SubtitleChar">
    <w:name w:val="Subtitle Char"/>
    <w:link w:val="Subtitle"/>
    <w:uiPriority w:val="99"/>
    <w:locked/>
    <w:rsid w:val="00CE5363"/>
    <w:rPr>
      <w:rFonts w:ascii="Cambria" w:hAnsi="Cambria" w:cs="Times New Roman"/>
      <w:sz w:val="24"/>
      <w:szCs w:val="24"/>
    </w:rPr>
  </w:style>
  <w:style w:type="paragraph" w:styleId="BodyText3">
    <w:name w:val="Body Text 3"/>
    <w:basedOn w:val="BodyText"/>
    <w:link w:val="BodyText3Char"/>
    <w:uiPriority w:val="99"/>
    <w:rsid w:val="006B24F5"/>
    <w:pPr>
      <w:spacing w:after="140"/>
    </w:pPr>
    <w:rPr>
      <w:sz w:val="20"/>
    </w:rPr>
  </w:style>
  <w:style w:type="character" w:customStyle="1" w:styleId="BodyText3Char">
    <w:name w:val="Body Text 3 Char"/>
    <w:link w:val="BodyText3"/>
    <w:uiPriority w:val="99"/>
    <w:semiHidden/>
    <w:locked/>
    <w:rsid w:val="00CE5363"/>
    <w:rPr>
      <w:rFonts w:cs="Times New Roman"/>
      <w:sz w:val="16"/>
      <w:szCs w:val="16"/>
    </w:rPr>
  </w:style>
  <w:style w:type="paragraph" w:styleId="TOC2">
    <w:name w:val="toc 2"/>
    <w:basedOn w:val="TOC1"/>
    <w:next w:val="BodyText"/>
    <w:uiPriority w:val="39"/>
    <w:rsid w:val="006B24F5"/>
    <w:pPr>
      <w:tabs>
        <w:tab w:val="clear" w:pos="284"/>
        <w:tab w:val="left" w:pos="709"/>
      </w:tabs>
      <w:ind w:left="709" w:hanging="425"/>
    </w:pPr>
    <w:rPr>
      <w:caps w:val="0"/>
    </w:rPr>
  </w:style>
  <w:style w:type="paragraph" w:styleId="TOC3">
    <w:name w:val="toc 3"/>
    <w:basedOn w:val="TOC2"/>
    <w:next w:val="BodyText"/>
    <w:uiPriority w:val="39"/>
    <w:rsid w:val="006B24F5"/>
    <w:pPr>
      <w:tabs>
        <w:tab w:val="clear" w:pos="709"/>
        <w:tab w:val="left" w:pos="1276"/>
      </w:tabs>
      <w:spacing w:before="0"/>
      <w:ind w:left="1276" w:hanging="567"/>
    </w:pPr>
  </w:style>
  <w:style w:type="paragraph" w:styleId="TOC4">
    <w:name w:val="toc 4"/>
    <w:basedOn w:val="TOC3"/>
    <w:next w:val="BodyText"/>
    <w:uiPriority w:val="99"/>
    <w:semiHidden/>
    <w:rsid w:val="006B24F5"/>
    <w:pPr>
      <w:tabs>
        <w:tab w:val="clear" w:pos="1276"/>
        <w:tab w:val="left" w:pos="1985"/>
      </w:tabs>
      <w:ind w:left="1985" w:hanging="709"/>
    </w:pPr>
  </w:style>
  <w:style w:type="paragraph" w:styleId="TOC5">
    <w:name w:val="toc 5"/>
    <w:basedOn w:val="TOC1"/>
    <w:next w:val="BodyText"/>
    <w:uiPriority w:val="99"/>
    <w:semiHidden/>
    <w:rsid w:val="006B24F5"/>
    <w:pPr>
      <w:tabs>
        <w:tab w:val="clear" w:pos="284"/>
      </w:tabs>
      <w:spacing w:before="0"/>
    </w:pPr>
    <w:rPr>
      <w:bCs/>
      <w:caps w:val="0"/>
      <w:lang w:val="en-GB"/>
    </w:rPr>
  </w:style>
  <w:style w:type="paragraph" w:styleId="TableofFigures">
    <w:name w:val="table of figures"/>
    <w:basedOn w:val="Normal"/>
    <w:next w:val="BodyText"/>
    <w:uiPriority w:val="99"/>
    <w:rsid w:val="006B24F5"/>
    <w:pPr>
      <w:tabs>
        <w:tab w:val="left" w:leader="dot" w:pos="9214"/>
        <w:tab w:val="right" w:pos="9639"/>
      </w:tabs>
    </w:pPr>
    <w:rPr>
      <w:sz w:val="20"/>
      <w:szCs w:val="20"/>
    </w:rPr>
  </w:style>
  <w:style w:type="paragraph" w:customStyle="1" w:styleId="Tablenote">
    <w:name w:val="Table note"/>
    <w:next w:val="BodyText"/>
    <w:rsid w:val="006B24F5"/>
    <w:pPr>
      <w:spacing w:before="90"/>
      <w:ind w:left="839"/>
      <w:jc w:val="both"/>
    </w:pPr>
    <w:rPr>
      <w:spacing w:val="-3"/>
    </w:rPr>
  </w:style>
  <w:style w:type="paragraph" w:styleId="Header">
    <w:name w:val="header"/>
    <w:basedOn w:val="Normal"/>
    <w:link w:val="HeaderChar"/>
    <w:uiPriority w:val="99"/>
    <w:rsid w:val="006B24F5"/>
    <w:pPr>
      <w:widowControl w:val="0"/>
      <w:pBdr>
        <w:bottom w:val="single" w:sz="6" w:space="2" w:color="auto"/>
      </w:pBdr>
      <w:tabs>
        <w:tab w:val="center" w:pos="4820"/>
        <w:tab w:val="right" w:pos="9639"/>
      </w:tabs>
    </w:pPr>
    <w:rPr>
      <w:caps/>
      <w:noProof/>
      <w:szCs w:val="20"/>
    </w:rPr>
  </w:style>
  <w:style w:type="character" w:customStyle="1" w:styleId="HeaderChar">
    <w:name w:val="Header Char"/>
    <w:link w:val="Header"/>
    <w:uiPriority w:val="99"/>
    <w:semiHidden/>
    <w:locked/>
    <w:rsid w:val="00CE5363"/>
    <w:rPr>
      <w:rFonts w:cs="Times New Roman"/>
      <w:sz w:val="24"/>
      <w:szCs w:val="24"/>
    </w:rPr>
  </w:style>
  <w:style w:type="paragraph" w:styleId="ListBullet">
    <w:name w:val="List Bullet"/>
    <w:basedOn w:val="Normal"/>
    <w:next w:val="BodyText"/>
    <w:uiPriority w:val="99"/>
    <w:rsid w:val="006B24F5"/>
    <w:pPr>
      <w:numPr>
        <w:numId w:val="1"/>
      </w:numPr>
      <w:tabs>
        <w:tab w:val="clear" w:pos="425"/>
        <w:tab w:val="left" w:pos="357"/>
      </w:tabs>
      <w:ind w:left="357" w:hanging="357"/>
      <w:jc w:val="both"/>
    </w:pPr>
    <w:rPr>
      <w:szCs w:val="20"/>
    </w:rPr>
  </w:style>
  <w:style w:type="paragraph" w:styleId="ListNumber">
    <w:name w:val="List Number"/>
    <w:basedOn w:val="Normal"/>
    <w:next w:val="BodyText"/>
    <w:uiPriority w:val="99"/>
    <w:rsid w:val="006B24F5"/>
    <w:pPr>
      <w:numPr>
        <w:numId w:val="3"/>
      </w:numPr>
      <w:tabs>
        <w:tab w:val="clear" w:pos="720"/>
        <w:tab w:val="left" w:pos="357"/>
      </w:tabs>
      <w:ind w:left="357" w:hanging="357"/>
      <w:jc w:val="both"/>
    </w:pPr>
    <w:rPr>
      <w:szCs w:val="20"/>
    </w:rPr>
  </w:style>
  <w:style w:type="paragraph" w:styleId="Footer">
    <w:name w:val="footer"/>
    <w:basedOn w:val="Header"/>
    <w:link w:val="FooterChar"/>
    <w:uiPriority w:val="99"/>
    <w:rsid w:val="006B24F5"/>
    <w:pPr>
      <w:pBdr>
        <w:top w:val="single" w:sz="6" w:space="2" w:color="auto"/>
        <w:bottom w:val="none" w:sz="0" w:space="0" w:color="auto"/>
      </w:pBdr>
    </w:pPr>
    <w:rPr>
      <w:caps w:val="0"/>
      <w:sz w:val="20"/>
    </w:rPr>
  </w:style>
  <w:style w:type="character" w:customStyle="1" w:styleId="FooterChar">
    <w:name w:val="Footer Char"/>
    <w:link w:val="Footer"/>
    <w:uiPriority w:val="99"/>
    <w:semiHidden/>
    <w:locked/>
    <w:rsid w:val="00CE5363"/>
    <w:rPr>
      <w:rFonts w:cs="Times New Roman"/>
      <w:sz w:val="24"/>
      <w:szCs w:val="24"/>
    </w:rPr>
  </w:style>
  <w:style w:type="character" w:styleId="PageNumber">
    <w:name w:val="page number"/>
    <w:uiPriority w:val="99"/>
    <w:rsid w:val="006B24F5"/>
    <w:rPr>
      <w:rFonts w:ascii="Times New Roman" w:hAnsi="Times New Roman" w:cs="Times New Roman"/>
      <w:sz w:val="20"/>
    </w:rPr>
  </w:style>
  <w:style w:type="paragraph" w:styleId="TOC7">
    <w:name w:val="toc 7"/>
    <w:basedOn w:val="Normal"/>
    <w:next w:val="Normal"/>
    <w:autoRedefine/>
    <w:uiPriority w:val="99"/>
    <w:semiHidden/>
    <w:rsid w:val="006B24F5"/>
    <w:pPr>
      <w:ind w:left="1440"/>
    </w:pPr>
  </w:style>
  <w:style w:type="paragraph" w:styleId="BodyTextFirstIndent">
    <w:name w:val="Body Text First Indent"/>
    <w:basedOn w:val="BodyText"/>
    <w:link w:val="BodyTextFirstIndentChar"/>
    <w:uiPriority w:val="99"/>
    <w:rsid w:val="006B24F5"/>
    <w:pPr>
      <w:ind w:firstLine="210"/>
    </w:pPr>
    <w:rPr>
      <w:szCs w:val="24"/>
    </w:rPr>
  </w:style>
  <w:style w:type="character" w:customStyle="1" w:styleId="BodyTextFirstIndentChar">
    <w:name w:val="Body Text First Indent Char"/>
    <w:link w:val="BodyTextFirstIndent"/>
    <w:uiPriority w:val="99"/>
    <w:semiHidden/>
    <w:locked/>
    <w:rsid w:val="00CE5363"/>
    <w:rPr>
      <w:rFonts w:cs="Times New Roman"/>
      <w:sz w:val="24"/>
      <w:szCs w:val="24"/>
      <w:lang w:val="en-GB" w:eastAsia="en-US" w:bidi="ar-SA"/>
    </w:rPr>
  </w:style>
  <w:style w:type="paragraph" w:styleId="BodyTextIndent">
    <w:name w:val="Body Text Indent"/>
    <w:basedOn w:val="Normal"/>
    <w:next w:val="BodyText"/>
    <w:link w:val="BodyTextIndentChar"/>
    <w:uiPriority w:val="99"/>
    <w:rsid w:val="006B24F5"/>
    <w:pPr>
      <w:spacing w:after="180"/>
      <w:ind w:left="357"/>
      <w:jc w:val="both"/>
    </w:pPr>
    <w:rPr>
      <w:szCs w:val="20"/>
      <w:lang w:val="en-GB"/>
    </w:rPr>
  </w:style>
  <w:style w:type="character" w:customStyle="1" w:styleId="BodyTextIndentChar">
    <w:name w:val="Body Text Indent Char"/>
    <w:link w:val="BodyTextIndent"/>
    <w:uiPriority w:val="99"/>
    <w:semiHidden/>
    <w:locked/>
    <w:rsid w:val="00CE5363"/>
    <w:rPr>
      <w:rFonts w:cs="Times New Roman"/>
      <w:sz w:val="24"/>
      <w:szCs w:val="24"/>
    </w:rPr>
  </w:style>
  <w:style w:type="paragraph" w:styleId="BodyTextFirstIndent2">
    <w:name w:val="Body Text First Indent 2"/>
    <w:basedOn w:val="BodyTextIndent"/>
    <w:link w:val="BodyTextFirstIndent2Char"/>
    <w:uiPriority w:val="99"/>
    <w:rsid w:val="006B24F5"/>
    <w:pPr>
      <w:ind w:firstLine="210"/>
    </w:pPr>
  </w:style>
  <w:style w:type="character" w:customStyle="1" w:styleId="BodyTextFirstIndent2Char">
    <w:name w:val="Body Text First Indent 2 Char"/>
    <w:link w:val="BodyTextFirstIndent2"/>
    <w:uiPriority w:val="99"/>
    <w:semiHidden/>
    <w:locked/>
    <w:rsid w:val="00CE5363"/>
    <w:rPr>
      <w:rFonts w:cs="Times New Roman"/>
      <w:sz w:val="24"/>
      <w:szCs w:val="24"/>
    </w:rPr>
  </w:style>
  <w:style w:type="paragraph" w:styleId="EndnoteText">
    <w:name w:val="endnote text"/>
    <w:basedOn w:val="Normal"/>
    <w:link w:val="EndnoteTextChar"/>
    <w:uiPriority w:val="99"/>
    <w:semiHidden/>
    <w:rsid w:val="006B24F5"/>
    <w:rPr>
      <w:sz w:val="20"/>
      <w:szCs w:val="20"/>
      <w:lang w:val="en-GB"/>
    </w:rPr>
  </w:style>
  <w:style w:type="character" w:customStyle="1" w:styleId="EndnoteTextChar">
    <w:name w:val="Endnote Text Char"/>
    <w:link w:val="EndnoteText"/>
    <w:uiPriority w:val="99"/>
    <w:semiHidden/>
    <w:locked/>
    <w:rsid w:val="00CE5363"/>
    <w:rPr>
      <w:rFonts w:cs="Times New Roman"/>
      <w:sz w:val="20"/>
      <w:szCs w:val="20"/>
    </w:rPr>
  </w:style>
  <w:style w:type="paragraph" w:styleId="FootnoteText">
    <w:name w:val="footnote text"/>
    <w:basedOn w:val="BodyText3"/>
    <w:link w:val="FootnoteTextChar"/>
    <w:uiPriority w:val="99"/>
    <w:semiHidden/>
    <w:rsid w:val="006B24F5"/>
  </w:style>
  <w:style w:type="character" w:customStyle="1" w:styleId="FootnoteTextChar">
    <w:name w:val="Footnote Text Char"/>
    <w:link w:val="FootnoteText"/>
    <w:uiPriority w:val="99"/>
    <w:semiHidden/>
    <w:locked/>
    <w:rsid w:val="00CE5363"/>
    <w:rPr>
      <w:rFonts w:cs="Times New Roman"/>
      <w:sz w:val="20"/>
      <w:szCs w:val="20"/>
    </w:rPr>
  </w:style>
  <w:style w:type="paragraph" w:styleId="Index2">
    <w:name w:val="index 2"/>
    <w:basedOn w:val="Normal"/>
    <w:next w:val="Normal"/>
    <w:autoRedefine/>
    <w:uiPriority w:val="99"/>
    <w:semiHidden/>
    <w:rsid w:val="006B24F5"/>
    <w:pPr>
      <w:ind w:left="480" w:hanging="240"/>
    </w:pPr>
  </w:style>
  <w:style w:type="paragraph" w:customStyle="1" w:styleId="CoverTitle">
    <w:name w:val="Cover Title"/>
    <w:basedOn w:val="BodyText"/>
    <w:next w:val="BodyText"/>
    <w:uiPriority w:val="99"/>
    <w:rsid w:val="006B24F5"/>
    <w:pPr>
      <w:spacing w:before="240" w:after="240"/>
      <w:jc w:val="center"/>
    </w:pPr>
    <w:rPr>
      <w:rFonts w:ascii="Times New Roman Bold" w:hAnsi="Times New Roman Bold"/>
      <w:b/>
      <w:sz w:val="32"/>
    </w:rPr>
  </w:style>
  <w:style w:type="paragraph" w:styleId="ListBullet2">
    <w:name w:val="List Bullet 2"/>
    <w:basedOn w:val="Normal"/>
    <w:next w:val="BodyText"/>
    <w:uiPriority w:val="99"/>
    <w:rsid w:val="006B24F5"/>
    <w:pPr>
      <w:tabs>
        <w:tab w:val="num" w:pos="720"/>
      </w:tabs>
      <w:ind w:left="714" w:hanging="357"/>
    </w:pPr>
    <w:rPr>
      <w:szCs w:val="20"/>
    </w:rPr>
  </w:style>
  <w:style w:type="paragraph" w:styleId="ListBullet3">
    <w:name w:val="List Bullet 3"/>
    <w:basedOn w:val="Normal"/>
    <w:next w:val="BodyText"/>
    <w:uiPriority w:val="99"/>
    <w:rsid w:val="006B24F5"/>
    <w:pPr>
      <w:tabs>
        <w:tab w:val="left" w:pos="1077"/>
      </w:tabs>
      <w:ind w:left="1077" w:hanging="357"/>
    </w:pPr>
    <w:rPr>
      <w:szCs w:val="20"/>
    </w:rPr>
  </w:style>
  <w:style w:type="paragraph" w:styleId="ListNumber2">
    <w:name w:val="List Number 2"/>
    <w:basedOn w:val="Normal"/>
    <w:next w:val="BodyText"/>
    <w:uiPriority w:val="99"/>
    <w:rsid w:val="006B24F5"/>
    <w:pPr>
      <w:tabs>
        <w:tab w:val="num" w:pos="720"/>
      </w:tabs>
      <w:ind w:left="720" w:hanging="360"/>
    </w:pPr>
    <w:rPr>
      <w:szCs w:val="20"/>
      <w:lang w:val="en-GB"/>
    </w:rPr>
  </w:style>
  <w:style w:type="paragraph" w:customStyle="1" w:styleId="Listalpha">
    <w:name w:val="List alpha"/>
    <w:basedOn w:val="ListNumber"/>
    <w:next w:val="BodyText"/>
    <w:uiPriority w:val="99"/>
    <w:rsid w:val="006B24F5"/>
    <w:pPr>
      <w:numPr>
        <w:numId w:val="2"/>
      </w:numPr>
    </w:pPr>
  </w:style>
  <w:style w:type="paragraph" w:styleId="TOC8">
    <w:name w:val="toc 8"/>
    <w:basedOn w:val="Normal"/>
    <w:next w:val="Normal"/>
    <w:autoRedefine/>
    <w:uiPriority w:val="99"/>
    <w:semiHidden/>
    <w:rsid w:val="006B24F5"/>
    <w:pPr>
      <w:ind w:left="1680"/>
    </w:pPr>
  </w:style>
  <w:style w:type="paragraph" w:styleId="TOC9">
    <w:name w:val="toc 9"/>
    <w:basedOn w:val="Normal"/>
    <w:next w:val="Normal"/>
    <w:autoRedefine/>
    <w:uiPriority w:val="99"/>
    <w:semiHidden/>
    <w:rsid w:val="006B24F5"/>
    <w:pPr>
      <w:ind w:left="1920"/>
    </w:pPr>
  </w:style>
  <w:style w:type="character" w:styleId="Hyperlink">
    <w:name w:val="Hyperlink"/>
    <w:uiPriority w:val="99"/>
    <w:rsid w:val="006B24F5"/>
    <w:rPr>
      <w:rFonts w:ascii="Times New Roman" w:hAnsi="Times New Roman" w:cs="Times New Roman"/>
      <w:color w:val="0000FF"/>
      <w:sz w:val="20"/>
      <w:u w:val="single"/>
    </w:rPr>
  </w:style>
  <w:style w:type="character" w:styleId="FootnoteReference">
    <w:name w:val="footnote reference"/>
    <w:uiPriority w:val="99"/>
    <w:semiHidden/>
    <w:rsid w:val="006B24F5"/>
    <w:rPr>
      <w:rFonts w:cs="Times New Roman"/>
      <w:position w:val="6"/>
      <w:sz w:val="16"/>
    </w:rPr>
  </w:style>
  <w:style w:type="character" w:customStyle="1" w:styleId="BodyTextChar1">
    <w:name w:val="Body Text Char1"/>
    <w:aliases w:val="Char Char Char Char1,Char Char1,Char Char Char Cha Char Char Char1,Char Char Char Cha Char Char Char C Char1,Char Char Char Cha Char2,Char Char Char Cha Char Char2,Char Char Char Cha Char Char Char C Char Char Char Char1, Char Char"/>
    <w:link w:val="BodyText"/>
    <w:locked/>
    <w:rsid w:val="00213442"/>
    <w:rPr>
      <w:rFonts w:cs="Times New Roman"/>
      <w:sz w:val="24"/>
      <w:lang w:val="en-GB" w:eastAsia="en-US" w:bidi="ar-SA"/>
    </w:rPr>
  </w:style>
  <w:style w:type="paragraph" w:styleId="NormalWeb">
    <w:name w:val="Normal (Web)"/>
    <w:basedOn w:val="Normal"/>
    <w:rsid w:val="00213442"/>
    <w:pPr>
      <w:spacing w:before="100" w:beforeAutospacing="1" w:after="100" w:afterAutospacing="1"/>
    </w:pPr>
  </w:style>
  <w:style w:type="character" w:styleId="EndnoteReference">
    <w:name w:val="endnote reference"/>
    <w:uiPriority w:val="99"/>
    <w:semiHidden/>
    <w:rsid w:val="00944BFB"/>
    <w:rPr>
      <w:rFonts w:cs="Times New Roman"/>
      <w:vertAlign w:val="superscript"/>
    </w:rPr>
  </w:style>
  <w:style w:type="paragraph" w:customStyle="1" w:styleId="MSDS-TZeile">
    <w:name w:val="MSDS-TZeile"/>
    <w:basedOn w:val="Normal"/>
    <w:next w:val="Normal"/>
    <w:link w:val="MSDS-TZeileChar"/>
    <w:rsid w:val="00E016C9"/>
    <w:pPr>
      <w:autoSpaceDE w:val="0"/>
      <w:autoSpaceDN w:val="0"/>
      <w:ind w:left="57"/>
    </w:pPr>
    <w:rPr>
      <w:rFonts w:ascii="Arial" w:hAnsi="Arial" w:cs="Arial"/>
      <w:sz w:val="20"/>
      <w:szCs w:val="20"/>
      <w:lang w:val="de-DE"/>
    </w:rPr>
  </w:style>
  <w:style w:type="character" w:customStyle="1" w:styleId="MSDS-TZeileChar">
    <w:name w:val="MSDS-TZeile Char"/>
    <w:link w:val="MSDS-TZeile"/>
    <w:locked/>
    <w:rsid w:val="00E016C9"/>
    <w:rPr>
      <w:rFonts w:ascii="Arial" w:hAnsi="Arial" w:cs="Arial"/>
      <w:lang w:val="de-DE"/>
    </w:rPr>
  </w:style>
  <w:style w:type="paragraph" w:customStyle="1" w:styleId="Text">
    <w:name w:val="Text"/>
    <w:basedOn w:val="Normal"/>
    <w:uiPriority w:val="99"/>
    <w:rsid w:val="00B0783B"/>
    <w:pPr>
      <w:spacing w:before="240" w:line="300" w:lineRule="auto"/>
    </w:pPr>
    <w:rPr>
      <w:szCs w:val="20"/>
    </w:rPr>
  </w:style>
  <w:style w:type="paragraph" w:customStyle="1" w:styleId="MSDS-TUZeile">
    <w:name w:val="MSDS-TUZeile"/>
    <w:basedOn w:val="Normal"/>
    <w:uiPriority w:val="99"/>
    <w:rsid w:val="0011696A"/>
    <w:pPr>
      <w:autoSpaceDE w:val="0"/>
      <w:autoSpaceDN w:val="0"/>
      <w:ind w:left="57"/>
    </w:pPr>
    <w:rPr>
      <w:rFonts w:ascii="Arial" w:hAnsi="Arial" w:cs="Arial"/>
      <w:sz w:val="20"/>
      <w:szCs w:val="20"/>
      <w:lang w:val="de-DE"/>
    </w:rPr>
  </w:style>
  <w:style w:type="paragraph" w:customStyle="1" w:styleId="ESRText">
    <w:name w:val="ESR Text"/>
    <w:basedOn w:val="Normal"/>
    <w:uiPriority w:val="99"/>
    <w:rsid w:val="0064267E"/>
    <w:pPr>
      <w:tabs>
        <w:tab w:val="left" w:pos="1134"/>
      </w:tabs>
      <w:jc w:val="both"/>
    </w:pPr>
    <w:rPr>
      <w:rFonts w:eastAsia="MS Mincho"/>
      <w:kern w:val="28"/>
      <w:szCs w:val="20"/>
      <w:lang w:val="en-GB" w:eastAsia="ja-JP"/>
    </w:rPr>
  </w:style>
  <w:style w:type="character" w:styleId="CommentReference">
    <w:name w:val="annotation reference"/>
    <w:uiPriority w:val="99"/>
    <w:semiHidden/>
    <w:rsid w:val="00472624"/>
    <w:rPr>
      <w:rFonts w:cs="Times New Roman"/>
      <w:sz w:val="16"/>
      <w:szCs w:val="16"/>
    </w:rPr>
  </w:style>
  <w:style w:type="paragraph" w:styleId="CommentText">
    <w:name w:val="annotation text"/>
    <w:basedOn w:val="Normal"/>
    <w:link w:val="CommentTextChar"/>
    <w:uiPriority w:val="99"/>
    <w:semiHidden/>
    <w:rsid w:val="00472624"/>
    <w:rPr>
      <w:sz w:val="20"/>
      <w:szCs w:val="20"/>
    </w:rPr>
  </w:style>
  <w:style w:type="character" w:customStyle="1" w:styleId="CommentTextChar">
    <w:name w:val="Comment Text Char"/>
    <w:link w:val="CommentText"/>
    <w:uiPriority w:val="99"/>
    <w:semiHidden/>
    <w:locked/>
    <w:rsid w:val="00472624"/>
    <w:rPr>
      <w:rFonts w:cs="Times New Roman"/>
    </w:rPr>
  </w:style>
  <w:style w:type="paragraph" w:styleId="CommentSubject">
    <w:name w:val="annotation subject"/>
    <w:basedOn w:val="CommentText"/>
    <w:next w:val="CommentText"/>
    <w:link w:val="CommentSubjectChar"/>
    <w:uiPriority w:val="99"/>
    <w:semiHidden/>
    <w:rsid w:val="00472624"/>
    <w:rPr>
      <w:b/>
      <w:bCs/>
    </w:rPr>
  </w:style>
  <w:style w:type="character" w:customStyle="1" w:styleId="CommentSubjectChar">
    <w:name w:val="Comment Subject Char"/>
    <w:link w:val="CommentSubject"/>
    <w:uiPriority w:val="99"/>
    <w:semiHidden/>
    <w:locked/>
    <w:rsid w:val="00472624"/>
    <w:rPr>
      <w:rFonts w:cs="Times New Roman"/>
      <w:b/>
      <w:bCs/>
    </w:rPr>
  </w:style>
  <w:style w:type="paragraph" w:styleId="BalloonText">
    <w:name w:val="Balloon Text"/>
    <w:basedOn w:val="Normal"/>
    <w:link w:val="BalloonTextChar"/>
    <w:uiPriority w:val="99"/>
    <w:semiHidden/>
    <w:rsid w:val="00472624"/>
    <w:rPr>
      <w:rFonts w:ascii="Tahoma" w:hAnsi="Tahoma" w:cs="Tahoma"/>
      <w:sz w:val="16"/>
      <w:szCs w:val="16"/>
    </w:rPr>
  </w:style>
  <w:style w:type="character" w:customStyle="1" w:styleId="BalloonTextChar">
    <w:name w:val="Balloon Text Char"/>
    <w:link w:val="BalloonText"/>
    <w:uiPriority w:val="99"/>
    <w:semiHidden/>
    <w:locked/>
    <w:rsid w:val="00472624"/>
    <w:rPr>
      <w:rFonts w:ascii="Tahoma" w:hAnsi="Tahoma" w:cs="Tahoma"/>
      <w:sz w:val="16"/>
      <w:szCs w:val="16"/>
    </w:rPr>
  </w:style>
  <w:style w:type="paragraph" w:customStyle="1" w:styleId="MSDS-Zeile">
    <w:name w:val="MSDS-Zeile"/>
    <w:basedOn w:val="Normal"/>
    <w:uiPriority w:val="99"/>
    <w:rsid w:val="00213E8E"/>
    <w:pPr>
      <w:tabs>
        <w:tab w:val="left" w:pos="3119"/>
        <w:tab w:val="left" w:pos="3402"/>
        <w:tab w:val="left" w:pos="4678"/>
        <w:tab w:val="left" w:pos="4962"/>
      </w:tabs>
      <w:autoSpaceDE w:val="0"/>
      <w:autoSpaceDN w:val="0"/>
      <w:ind w:left="57"/>
    </w:pPr>
    <w:rPr>
      <w:sz w:val="20"/>
      <w:szCs w:val="20"/>
      <w:lang w:val="de-DE"/>
    </w:rPr>
  </w:style>
  <w:style w:type="character" w:styleId="FollowedHyperlink">
    <w:name w:val="FollowedHyperlink"/>
    <w:uiPriority w:val="99"/>
    <w:rsid w:val="00905F18"/>
    <w:rPr>
      <w:rFonts w:cs="Times New Roman"/>
      <w:color w:val="800080"/>
      <w:u w:val="single"/>
    </w:rPr>
  </w:style>
  <w:style w:type="paragraph" w:styleId="Revision">
    <w:name w:val="Revision"/>
    <w:hidden/>
    <w:uiPriority w:val="99"/>
    <w:semiHidden/>
    <w:rsid w:val="00F0198E"/>
    <w:rPr>
      <w:sz w:val="24"/>
      <w:szCs w:val="24"/>
    </w:rPr>
  </w:style>
  <w:style w:type="character" w:styleId="Strong">
    <w:name w:val="Strong"/>
    <w:uiPriority w:val="99"/>
    <w:qFormat/>
    <w:rsid w:val="00670C6A"/>
    <w:rPr>
      <w:rFonts w:cs="Times New Roman"/>
      <w:b/>
      <w:bCs/>
    </w:rPr>
  </w:style>
  <w:style w:type="paragraph" w:styleId="ListParagraph">
    <w:name w:val="List Paragraph"/>
    <w:basedOn w:val="Normal"/>
    <w:uiPriority w:val="99"/>
    <w:qFormat/>
    <w:rsid w:val="007461F0"/>
    <w:pPr>
      <w:ind w:left="720"/>
      <w:contextualSpacing/>
    </w:pPr>
  </w:style>
  <w:style w:type="paragraph" w:styleId="NoSpacing">
    <w:name w:val="No Spacing"/>
    <w:uiPriority w:val="99"/>
    <w:qFormat/>
    <w:rsid w:val="00855C35"/>
    <w:rPr>
      <w:sz w:val="24"/>
      <w:szCs w:val="24"/>
    </w:rPr>
  </w:style>
  <w:style w:type="character" w:customStyle="1" w:styleId="spelle">
    <w:name w:val="spelle"/>
    <w:uiPriority w:val="99"/>
    <w:rsid w:val="00D20EB1"/>
    <w:rPr>
      <w:rFonts w:cs="Times New Roman"/>
    </w:rPr>
  </w:style>
  <w:style w:type="table" w:styleId="TableGrid">
    <w:name w:val="Table Grid"/>
    <w:basedOn w:val="TableNormal"/>
    <w:uiPriority w:val="59"/>
    <w:locked/>
    <w:rsid w:val="00361D7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Caption">
    <w:name w:val="Table Caption"/>
    <w:basedOn w:val="Caption"/>
    <w:rsid w:val="00F074F0"/>
    <w:pPr>
      <w:outlineLvl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B24F5"/>
    <w:rPr>
      <w:sz w:val="24"/>
      <w:szCs w:val="24"/>
    </w:rPr>
  </w:style>
  <w:style w:type="paragraph" w:styleId="Heading1">
    <w:name w:val="heading 1"/>
    <w:aliases w:val="ESR Heading 1"/>
    <w:basedOn w:val="Normal"/>
    <w:next w:val="BodyText"/>
    <w:link w:val="Heading1Char"/>
    <w:uiPriority w:val="99"/>
    <w:qFormat/>
    <w:rsid w:val="006B24F5"/>
    <w:pPr>
      <w:keepNext/>
      <w:tabs>
        <w:tab w:val="left" w:pos="839"/>
      </w:tabs>
      <w:spacing w:before="360" w:after="200"/>
      <w:ind w:left="839" w:hanging="839"/>
      <w:outlineLvl w:val="0"/>
    </w:pPr>
    <w:rPr>
      <w:rFonts w:ascii="Times New Roman Bold" w:hAnsi="Times New Roman Bold"/>
      <w:b/>
      <w:caps/>
      <w:szCs w:val="20"/>
      <w:lang w:val="en-GB"/>
    </w:rPr>
  </w:style>
  <w:style w:type="paragraph" w:styleId="Heading2">
    <w:name w:val="heading 2"/>
    <w:basedOn w:val="Heading1"/>
    <w:next w:val="BodyText"/>
    <w:link w:val="Heading2Char"/>
    <w:uiPriority w:val="99"/>
    <w:qFormat/>
    <w:rsid w:val="006B24F5"/>
    <w:pPr>
      <w:numPr>
        <w:ilvl w:val="1"/>
      </w:numPr>
      <w:tabs>
        <w:tab w:val="num" w:pos="1440"/>
      </w:tabs>
      <w:ind w:left="1440" w:hanging="360"/>
      <w:jc w:val="both"/>
      <w:outlineLvl w:val="1"/>
    </w:pPr>
    <w:rPr>
      <w:caps w:val="0"/>
    </w:rPr>
  </w:style>
  <w:style w:type="paragraph" w:styleId="Heading3">
    <w:name w:val="heading 3"/>
    <w:basedOn w:val="Heading2"/>
    <w:next w:val="BodyText"/>
    <w:link w:val="Heading3Char"/>
    <w:uiPriority w:val="99"/>
    <w:qFormat/>
    <w:rsid w:val="006B24F5"/>
    <w:pPr>
      <w:numPr>
        <w:ilvl w:val="2"/>
      </w:numPr>
      <w:tabs>
        <w:tab w:val="num" w:pos="1440"/>
        <w:tab w:val="num" w:pos="2160"/>
      </w:tabs>
      <w:ind w:left="2160" w:hanging="180"/>
      <w:jc w:val="left"/>
      <w:outlineLvl w:val="2"/>
    </w:pPr>
  </w:style>
  <w:style w:type="paragraph" w:styleId="Heading4">
    <w:name w:val="heading 4"/>
    <w:basedOn w:val="Heading3"/>
    <w:next w:val="BodyText"/>
    <w:link w:val="Heading4Char"/>
    <w:uiPriority w:val="99"/>
    <w:qFormat/>
    <w:rsid w:val="006B24F5"/>
    <w:pPr>
      <w:numPr>
        <w:ilvl w:val="3"/>
      </w:numPr>
      <w:tabs>
        <w:tab w:val="num" w:pos="1077"/>
        <w:tab w:val="num" w:pos="1440"/>
        <w:tab w:val="num" w:pos="2880"/>
      </w:tabs>
      <w:ind w:left="1077" w:hanging="1077"/>
      <w:outlineLvl w:val="3"/>
    </w:pPr>
  </w:style>
  <w:style w:type="paragraph" w:styleId="Heading5">
    <w:name w:val="heading 5"/>
    <w:basedOn w:val="Heading4"/>
    <w:next w:val="BodyText"/>
    <w:link w:val="Heading5Char"/>
    <w:uiPriority w:val="99"/>
    <w:qFormat/>
    <w:rsid w:val="006B24F5"/>
    <w:pPr>
      <w:numPr>
        <w:ilvl w:val="4"/>
      </w:numPr>
      <w:tabs>
        <w:tab w:val="left" w:pos="1077"/>
        <w:tab w:val="num" w:pos="1843"/>
        <w:tab w:val="num" w:pos="3600"/>
      </w:tabs>
      <w:ind w:left="3600" w:hanging="360"/>
      <w:outlineLvl w:val="4"/>
    </w:pPr>
  </w:style>
  <w:style w:type="paragraph" w:styleId="Heading6">
    <w:name w:val="heading 6"/>
    <w:basedOn w:val="Normal"/>
    <w:next w:val="BodyText"/>
    <w:link w:val="Heading6Char"/>
    <w:uiPriority w:val="99"/>
    <w:qFormat/>
    <w:rsid w:val="006B24F5"/>
    <w:pPr>
      <w:keepNext/>
      <w:spacing w:after="200"/>
      <w:outlineLvl w:val="5"/>
    </w:pPr>
    <w:rPr>
      <w:rFonts w:ascii="Times New Roman Bold" w:hAnsi="Times New Roman Bold"/>
      <w:b/>
      <w:caps/>
      <w:szCs w:val="20"/>
      <w:lang w:val="en-GB"/>
    </w:rPr>
  </w:style>
  <w:style w:type="paragraph" w:styleId="Heading7">
    <w:name w:val="heading 7"/>
    <w:basedOn w:val="Normal"/>
    <w:next w:val="BodyText"/>
    <w:link w:val="Heading7Char"/>
    <w:uiPriority w:val="99"/>
    <w:qFormat/>
    <w:rsid w:val="006B24F5"/>
    <w:pPr>
      <w:keepNext/>
      <w:spacing w:after="180"/>
      <w:outlineLvl w:val="6"/>
    </w:pPr>
    <w:rPr>
      <w:rFonts w:ascii="Times New Roman Bold" w:hAnsi="Times New Roman Bold"/>
      <w:b/>
      <w:szCs w:val="20"/>
      <w:lang w:val="en-GB"/>
    </w:rPr>
  </w:style>
  <w:style w:type="paragraph" w:styleId="Heading8">
    <w:name w:val="heading 8"/>
    <w:basedOn w:val="Normal"/>
    <w:next w:val="BodyText"/>
    <w:link w:val="Heading8Char"/>
    <w:uiPriority w:val="99"/>
    <w:qFormat/>
    <w:rsid w:val="006B24F5"/>
    <w:pPr>
      <w:keepNext/>
      <w:spacing w:after="180"/>
      <w:outlineLvl w:val="7"/>
    </w:pPr>
    <w:rPr>
      <w:u w:val="single"/>
      <w:lang w:val="en-GB"/>
    </w:rPr>
  </w:style>
  <w:style w:type="paragraph" w:styleId="Heading9">
    <w:name w:val="heading 9"/>
    <w:basedOn w:val="Normal"/>
    <w:next w:val="BodyText"/>
    <w:link w:val="Heading9Char"/>
    <w:uiPriority w:val="99"/>
    <w:qFormat/>
    <w:rsid w:val="006B24F5"/>
    <w:pPr>
      <w:keepNext/>
      <w:spacing w:after="180"/>
      <w:outlineLvl w:val="8"/>
    </w:pPr>
    <w:rPr>
      <w:i/>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SR Heading 1 Char"/>
    <w:link w:val="Heading1"/>
    <w:uiPriority w:val="99"/>
    <w:locked/>
    <w:rsid w:val="00CE5363"/>
    <w:rPr>
      <w:rFonts w:ascii="Times New Roman Bold" w:hAnsi="Times New Roman Bold" w:cs="Times New Roman"/>
      <w:b/>
      <w:caps/>
      <w:sz w:val="20"/>
      <w:szCs w:val="20"/>
      <w:lang w:val="en-GB"/>
    </w:rPr>
  </w:style>
  <w:style w:type="character" w:customStyle="1" w:styleId="Heading2Char">
    <w:name w:val="Heading 2 Char"/>
    <w:link w:val="Heading2"/>
    <w:uiPriority w:val="99"/>
    <w:locked/>
    <w:rsid w:val="00CE5363"/>
    <w:rPr>
      <w:rFonts w:ascii="Times New Roman Bold" w:hAnsi="Times New Roman Bold" w:cs="Times New Roman"/>
      <w:b/>
      <w:sz w:val="24"/>
      <w:lang w:val="en-GB" w:eastAsia="en-US" w:bidi="ar-SA"/>
    </w:rPr>
  </w:style>
  <w:style w:type="character" w:customStyle="1" w:styleId="Heading3Char">
    <w:name w:val="Heading 3 Char"/>
    <w:link w:val="Heading3"/>
    <w:uiPriority w:val="99"/>
    <w:locked/>
    <w:rsid w:val="00CE5363"/>
    <w:rPr>
      <w:rFonts w:ascii="Times New Roman Bold" w:hAnsi="Times New Roman Bold" w:cs="Times New Roman"/>
      <w:b/>
      <w:sz w:val="24"/>
      <w:lang w:val="en-GB" w:eastAsia="en-US" w:bidi="ar-SA"/>
    </w:rPr>
  </w:style>
  <w:style w:type="character" w:customStyle="1" w:styleId="Heading4Char">
    <w:name w:val="Heading 4 Char"/>
    <w:link w:val="Heading4"/>
    <w:uiPriority w:val="99"/>
    <w:locked/>
    <w:rsid w:val="00CE5363"/>
    <w:rPr>
      <w:rFonts w:ascii="Times New Roman Bold" w:hAnsi="Times New Roman Bold" w:cs="Times New Roman"/>
      <w:b/>
      <w:sz w:val="24"/>
      <w:lang w:val="en-GB" w:eastAsia="en-US" w:bidi="ar-SA"/>
    </w:rPr>
  </w:style>
  <w:style w:type="character" w:customStyle="1" w:styleId="Heading5Char">
    <w:name w:val="Heading 5 Char"/>
    <w:link w:val="Heading5"/>
    <w:uiPriority w:val="99"/>
    <w:locked/>
    <w:rsid w:val="00CE5363"/>
    <w:rPr>
      <w:rFonts w:ascii="Times New Roman Bold" w:hAnsi="Times New Roman Bold" w:cs="Times New Roman"/>
      <w:b/>
      <w:sz w:val="24"/>
      <w:lang w:val="en-GB" w:eastAsia="en-US" w:bidi="ar-SA"/>
    </w:rPr>
  </w:style>
  <w:style w:type="character" w:customStyle="1" w:styleId="Heading6Char">
    <w:name w:val="Heading 6 Char"/>
    <w:link w:val="Heading6"/>
    <w:uiPriority w:val="99"/>
    <w:semiHidden/>
    <w:locked/>
    <w:rsid w:val="00CE5363"/>
    <w:rPr>
      <w:rFonts w:ascii="Calibri" w:hAnsi="Calibri" w:cs="Times New Roman"/>
      <w:b/>
      <w:bCs/>
    </w:rPr>
  </w:style>
  <w:style w:type="character" w:customStyle="1" w:styleId="Heading7Char">
    <w:name w:val="Heading 7 Char"/>
    <w:link w:val="Heading7"/>
    <w:uiPriority w:val="99"/>
    <w:semiHidden/>
    <w:locked/>
    <w:rsid w:val="00CE5363"/>
    <w:rPr>
      <w:rFonts w:ascii="Calibri" w:hAnsi="Calibri" w:cs="Times New Roman"/>
      <w:sz w:val="24"/>
      <w:szCs w:val="24"/>
    </w:rPr>
  </w:style>
  <w:style w:type="character" w:customStyle="1" w:styleId="Heading8Char">
    <w:name w:val="Heading 8 Char"/>
    <w:link w:val="Heading8"/>
    <w:uiPriority w:val="99"/>
    <w:semiHidden/>
    <w:locked/>
    <w:rsid w:val="00CE5363"/>
    <w:rPr>
      <w:rFonts w:ascii="Calibri" w:hAnsi="Calibri" w:cs="Times New Roman"/>
      <w:i/>
      <w:iCs/>
      <w:sz w:val="24"/>
      <w:szCs w:val="24"/>
    </w:rPr>
  </w:style>
  <w:style w:type="character" w:customStyle="1" w:styleId="Heading9Char">
    <w:name w:val="Heading 9 Char"/>
    <w:link w:val="Heading9"/>
    <w:uiPriority w:val="99"/>
    <w:semiHidden/>
    <w:locked/>
    <w:rsid w:val="00CE5363"/>
    <w:rPr>
      <w:rFonts w:ascii="Cambria" w:hAnsi="Cambria" w:cs="Times New Roman"/>
    </w:rPr>
  </w:style>
  <w:style w:type="paragraph" w:styleId="BodyText">
    <w:name w:val="Body Text"/>
    <w:aliases w:val="Char Char Char,Char,Char Char Char Cha Char Char,Char Char Char Cha Char Char Char C,Char Char Char Cha,Char Char Char Cha Char,Char Char Char Cha Char Char Char C Char Char Char, Char Char Char, Char, Char Char Char Cha Char Char"/>
    <w:basedOn w:val="Normal"/>
    <w:link w:val="BodyTextChar1"/>
    <w:rsid w:val="006B24F5"/>
    <w:pPr>
      <w:spacing w:after="180"/>
      <w:jc w:val="both"/>
    </w:pPr>
    <w:rPr>
      <w:szCs w:val="20"/>
      <w:lang w:val="en-GB"/>
    </w:rPr>
  </w:style>
  <w:style w:type="character" w:customStyle="1" w:styleId="BodyTextChar">
    <w:name w:val="Body Text Char"/>
    <w:aliases w:val="Char Char Char Char,Char Char,Char Char Char Cha Char Char Char,Char Char Char Cha Char Char Char C Char,Char Char Char Cha Char1,Char Char Char Cha Char Char1,Char Char Char Cha Char Char Char C Char Char Char Char"/>
    <w:locked/>
    <w:rsid w:val="00411776"/>
    <w:rPr>
      <w:rFonts w:cs="Times New Roman"/>
      <w:sz w:val="24"/>
      <w:lang w:val="en-GB" w:eastAsia="en-US" w:bidi="ar-SA"/>
    </w:rPr>
  </w:style>
  <w:style w:type="paragraph" w:customStyle="1" w:styleId="Tabletitle">
    <w:name w:val="Table title"/>
    <w:basedOn w:val="Normal"/>
    <w:next w:val="Normal"/>
    <w:rsid w:val="006B24F5"/>
  </w:style>
  <w:style w:type="paragraph" w:customStyle="1" w:styleId="Tabletext">
    <w:name w:val="Table text"/>
    <w:rsid w:val="006B24F5"/>
    <w:pPr>
      <w:keepNext/>
      <w:keepLines/>
      <w:spacing w:before="54" w:after="54"/>
    </w:pPr>
    <w:rPr>
      <w:lang w:eastAsia="da-DK"/>
    </w:rPr>
  </w:style>
  <w:style w:type="paragraph" w:styleId="TOC6">
    <w:name w:val="toc 6"/>
    <w:basedOn w:val="TOC1"/>
    <w:next w:val="Normal"/>
    <w:uiPriority w:val="99"/>
    <w:rsid w:val="006B24F5"/>
    <w:pPr>
      <w:tabs>
        <w:tab w:val="clear" w:pos="284"/>
      </w:tabs>
    </w:pPr>
  </w:style>
  <w:style w:type="paragraph" w:styleId="TOC1">
    <w:name w:val="toc 1"/>
    <w:basedOn w:val="Normal"/>
    <w:next w:val="BodyText"/>
    <w:uiPriority w:val="39"/>
    <w:rsid w:val="006B24F5"/>
    <w:pPr>
      <w:tabs>
        <w:tab w:val="left" w:pos="284"/>
        <w:tab w:val="left" w:leader="dot" w:pos="9214"/>
        <w:tab w:val="right" w:pos="9639"/>
      </w:tabs>
      <w:spacing w:before="240"/>
    </w:pPr>
    <w:rPr>
      <w:caps/>
      <w:noProof/>
      <w:sz w:val="20"/>
      <w:szCs w:val="20"/>
    </w:rPr>
  </w:style>
  <w:style w:type="paragraph" w:styleId="BlockText">
    <w:name w:val="Block Text"/>
    <w:basedOn w:val="BodyText"/>
    <w:next w:val="BodyText"/>
    <w:uiPriority w:val="99"/>
    <w:rsid w:val="006B24F5"/>
    <w:pPr>
      <w:ind w:left="1440" w:right="1440"/>
    </w:pPr>
  </w:style>
  <w:style w:type="paragraph" w:styleId="BodyText2">
    <w:name w:val="Body Text 2"/>
    <w:basedOn w:val="BodyText"/>
    <w:link w:val="BodyText2Char"/>
    <w:uiPriority w:val="99"/>
    <w:rsid w:val="006B24F5"/>
    <w:pPr>
      <w:suppressAutoHyphens/>
      <w:spacing w:after="0"/>
    </w:pPr>
  </w:style>
  <w:style w:type="character" w:customStyle="1" w:styleId="BodyText2Char">
    <w:name w:val="Body Text 2 Char"/>
    <w:link w:val="BodyText2"/>
    <w:uiPriority w:val="99"/>
    <w:semiHidden/>
    <w:locked/>
    <w:rsid w:val="00CE5363"/>
    <w:rPr>
      <w:rFonts w:cs="Times New Roman"/>
      <w:sz w:val="24"/>
      <w:szCs w:val="24"/>
    </w:rPr>
  </w:style>
  <w:style w:type="paragraph" w:styleId="Caption">
    <w:name w:val="caption"/>
    <w:basedOn w:val="Normal"/>
    <w:next w:val="BodyText"/>
    <w:qFormat/>
    <w:rsid w:val="006B24F5"/>
    <w:pPr>
      <w:keepNext/>
      <w:spacing w:before="360" w:after="90"/>
      <w:ind w:left="839"/>
    </w:pPr>
    <w:rPr>
      <w:rFonts w:ascii="Times New Roman Bold" w:hAnsi="Times New Roman Bold"/>
      <w:b/>
      <w:bCs/>
      <w:szCs w:val="20"/>
    </w:rPr>
  </w:style>
  <w:style w:type="paragraph" w:styleId="Title">
    <w:name w:val="Title"/>
    <w:basedOn w:val="Normal"/>
    <w:next w:val="BodyText"/>
    <w:link w:val="TitleChar"/>
    <w:uiPriority w:val="99"/>
    <w:qFormat/>
    <w:rsid w:val="006B24F5"/>
    <w:pPr>
      <w:spacing w:before="3120" w:after="320"/>
      <w:jc w:val="center"/>
      <w:outlineLvl w:val="0"/>
    </w:pPr>
    <w:rPr>
      <w:rFonts w:ascii="Algerian" w:hAnsi="Algerian" w:cs="Arial"/>
      <w:b/>
      <w:bCs/>
      <w:i/>
      <w:kern w:val="28"/>
      <w:sz w:val="72"/>
      <w:szCs w:val="32"/>
      <w:lang w:val="en-GB"/>
    </w:rPr>
  </w:style>
  <w:style w:type="character" w:customStyle="1" w:styleId="TitleChar">
    <w:name w:val="Title Char"/>
    <w:link w:val="Title"/>
    <w:uiPriority w:val="99"/>
    <w:locked/>
    <w:rsid w:val="00CE5363"/>
    <w:rPr>
      <w:rFonts w:ascii="Cambria" w:hAnsi="Cambria" w:cs="Times New Roman"/>
      <w:b/>
      <w:bCs/>
      <w:kern w:val="28"/>
      <w:sz w:val="32"/>
      <w:szCs w:val="32"/>
    </w:rPr>
  </w:style>
  <w:style w:type="paragraph" w:styleId="Subtitle">
    <w:name w:val="Subtitle"/>
    <w:basedOn w:val="Normal"/>
    <w:next w:val="BodyText"/>
    <w:link w:val="SubtitleChar"/>
    <w:uiPriority w:val="99"/>
    <w:qFormat/>
    <w:rsid w:val="006B24F5"/>
    <w:pPr>
      <w:jc w:val="center"/>
      <w:outlineLvl w:val="1"/>
    </w:pPr>
    <w:rPr>
      <w:rFonts w:ascii="Algerian" w:hAnsi="Algerian"/>
      <w:b/>
      <w:i/>
      <w:sz w:val="40"/>
      <w:szCs w:val="20"/>
    </w:rPr>
  </w:style>
  <w:style w:type="character" w:customStyle="1" w:styleId="SubtitleChar">
    <w:name w:val="Subtitle Char"/>
    <w:link w:val="Subtitle"/>
    <w:uiPriority w:val="99"/>
    <w:locked/>
    <w:rsid w:val="00CE5363"/>
    <w:rPr>
      <w:rFonts w:ascii="Cambria" w:hAnsi="Cambria" w:cs="Times New Roman"/>
      <w:sz w:val="24"/>
      <w:szCs w:val="24"/>
    </w:rPr>
  </w:style>
  <w:style w:type="paragraph" w:styleId="BodyText3">
    <w:name w:val="Body Text 3"/>
    <w:basedOn w:val="BodyText"/>
    <w:link w:val="BodyText3Char"/>
    <w:uiPriority w:val="99"/>
    <w:rsid w:val="006B24F5"/>
    <w:pPr>
      <w:spacing w:after="140"/>
    </w:pPr>
    <w:rPr>
      <w:sz w:val="20"/>
    </w:rPr>
  </w:style>
  <w:style w:type="character" w:customStyle="1" w:styleId="BodyText3Char">
    <w:name w:val="Body Text 3 Char"/>
    <w:link w:val="BodyText3"/>
    <w:uiPriority w:val="99"/>
    <w:semiHidden/>
    <w:locked/>
    <w:rsid w:val="00CE5363"/>
    <w:rPr>
      <w:rFonts w:cs="Times New Roman"/>
      <w:sz w:val="16"/>
      <w:szCs w:val="16"/>
    </w:rPr>
  </w:style>
  <w:style w:type="paragraph" w:styleId="TOC2">
    <w:name w:val="toc 2"/>
    <w:basedOn w:val="TOC1"/>
    <w:next w:val="BodyText"/>
    <w:uiPriority w:val="39"/>
    <w:rsid w:val="006B24F5"/>
    <w:pPr>
      <w:tabs>
        <w:tab w:val="clear" w:pos="284"/>
        <w:tab w:val="left" w:pos="709"/>
      </w:tabs>
      <w:ind w:left="709" w:hanging="425"/>
    </w:pPr>
    <w:rPr>
      <w:caps w:val="0"/>
    </w:rPr>
  </w:style>
  <w:style w:type="paragraph" w:styleId="TOC3">
    <w:name w:val="toc 3"/>
    <w:basedOn w:val="TOC2"/>
    <w:next w:val="BodyText"/>
    <w:uiPriority w:val="39"/>
    <w:rsid w:val="006B24F5"/>
    <w:pPr>
      <w:tabs>
        <w:tab w:val="clear" w:pos="709"/>
        <w:tab w:val="left" w:pos="1276"/>
      </w:tabs>
      <w:spacing w:before="0"/>
      <w:ind w:left="1276" w:hanging="567"/>
    </w:pPr>
  </w:style>
  <w:style w:type="paragraph" w:styleId="TOC4">
    <w:name w:val="toc 4"/>
    <w:basedOn w:val="TOC3"/>
    <w:next w:val="BodyText"/>
    <w:uiPriority w:val="99"/>
    <w:semiHidden/>
    <w:rsid w:val="006B24F5"/>
    <w:pPr>
      <w:tabs>
        <w:tab w:val="clear" w:pos="1276"/>
        <w:tab w:val="left" w:pos="1985"/>
      </w:tabs>
      <w:ind w:left="1985" w:hanging="709"/>
    </w:pPr>
  </w:style>
  <w:style w:type="paragraph" w:styleId="TOC5">
    <w:name w:val="toc 5"/>
    <w:basedOn w:val="TOC1"/>
    <w:next w:val="BodyText"/>
    <w:uiPriority w:val="99"/>
    <w:semiHidden/>
    <w:rsid w:val="006B24F5"/>
    <w:pPr>
      <w:tabs>
        <w:tab w:val="clear" w:pos="284"/>
      </w:tabs>
      <w:spacing w:before="0"/>
    </w:pPr>
    <w:rPr>
      <w:bCs/>
      <w:caps w:val="0"/>
      <w:lang w:val="en-GB"/>
    </w:rPr>
  </w:style>
  <w:style w:type="paragraph" w:styleId="TableofFigures">
    <w:name w:val="table of figures"/>
    <w:basedOn w:val="Normal"/>
    <w:next w:val="BodyText"/>
    <w:uiPriority w:val="99"/>
    <w:rsid w:val="006B24F5"/>
    <w:pPr>
      <w:tabs>
        <w:tab w:val="left" w:leader="dot" w:pos="9214"/>
        <w:tab w:val="right" w:pos="9639"/>
      </w:tabs>
    </w:pPr>
    <w:rPr>
      <w:sz w:val="20"/>
      <w:szCs w:val="20"/>
    </w:rPr>
  </w:style>
  <w:style w:type="paragraph" w:customStyle="1" w:styleId="Tablenote">
    <w:name w:val="Table note"/>
    <w:next w:val="BodyText"/>
    <w:rsid w:val="006B24F5"/>
    <w:pPr>
      <w:spacing w:before="90"/>
      <w:ind w:left="839"/>
      <w:jc w:val="both"/>
    </w:pPr>
    <w:rPr>
      <w:spacing w:val="-3"/>
    </w:rPr>
  </w:style>
  <w:style w:type="paragraph" w:styleId="Header">
    <w:name w:val="header"/>
    <w:basedOn w:val="Normal"/>
    <w:link w:val="HeaderChar"/>
    <w:uiPriority w:val="99"/>
    <w:rsid w:val="006B24F5"/>
    <w:pPr>
      <w:widowControl w:val="0"/>
      <w:pBdr>
        <w:bottom w:val="single" w:sz="6" w:space="2" w:color="auto"/>
      </w:pBdr>
      <w:tabs>
        <w:tab w:val="center" w:pos="4820"/>
        <w:tab w:val="right" w:pos="9639"/>
      </w:tabs>
    </w:pPr>
    <w:rPr>
      <w:caps/>
      <w:noProof/>
      <w:szCs w:val="20"/>
    </w:rPr>
  </w:style>
  <w:style w:type="character" w:customStyle="1" w:styleId="HeaderChar">
    <w:name w:val="Header Char"/>
    <w:link w:val="Header"/>
    <w:uiPriority w:val="99"/>
    <w:semiHidden/>
    <w:locked/>
    <w:rsid w:val="00CE5363"/>
    <w:rPr>
      <w:rFonts w:cs="Times New Roman"/>
      <w:sz w:val="24"/>
      <w:szCs w:val="24"/>
    </w:rPr>
  </w:style>
  <w:style w:type="paragraph" w:styleId="ListBullet">
    <w:name w:val="List Bullet"/>
    <w:basedOn w:val="Normal"/>
    <w:next w:val="BodyText"/>
    <w:uiPriority w:val="99"/>
    <w:rsid w:val="006B24F5"/>
    <w:pPr>
      <w:numPr>
        <w:numId w:val="1"/>
      </w:numPr>
      <w:tabs>
        <w:tab w:val="clear" w:pos="425"/>
        <w:tab w:val="left" w:pos="357"/>
      </w:tabs>
      <w:ind w:left="357" w:hanging="357"/>
      <w:jc w:val="both"/>
    </w:pPr>
    <w:rPr>
      <w:szCs w:val="20"/>
    </w:rPr>
  </w:style>
  <w:style w:type="paragraph" w:styleId="ListNumber">
    <w:name w:val="List Number"/>
    <w:basedOn w:val="Normal"/>
    <w:next w:val="BodyText"/>
    <w:uiPriority w:val="99"/>
    <w:rsid w:val="006B24F5"/>
    <w:pPr>
      <w:numPr>
        <w:numId w:val="3"/>
      </w:numPr>
      <w:tabs>
        <w:tab w:val="clear" w:pos="720"/>
        <w:tab w:val="left" w:pos="357"/>
      </w:tabs>
      <w:ind w:left="357" w:hanging="357"/>
      <w:jc w:val="both"/>
    </w:pPr>
    <w:rPr>
      <w:szCs w:val="20"/>
    </w:rPr>
  </w:style>
  <w:style w:type="paragraph" w:styleId="Footer">
    <w:name w:val="footer"/>
    <w:basedOn w:val="Header"/>
    <w:link w:val="FooterChar"/>
    <w:uiPriority w:val="99"/>
    <w:rsid w:val="006B24F5"/>
    <w:pPr>
      <w:pBdr>
        <w:top w:val="single" w:sz="6" w:space="2" w:color="auto"/>
        <w:bottom w:val="none" w:sz="0" w:space="0" w:color="auto"/>
      </w:pBdr>
    </w:pPr>
    <w:rPr>
      <w:caps w:val="0"/>
      <w:sz w:val="20"/>
    </w:rPr>
  </w:style>
  <w:style w:type="character" w:customStyle="1" w:styleId="FooterChar">
    <w:name w:val="Footer Char"/>
    <w:link w:val="Footer"/>
    <w:uiPriority w:val="99"/>
    <w:semiHidden/>
    <w:locked/>
    <w:rsid w:val="00CE5363"/>
    <w:rPr>
      <w:rFonts w:cs="Times New Roman"/>
      <w:sz w:val="24"/>
      <w:szCs w:val="24"/>
    </w:rPr>
  </w:style>
  <w:style w:type="character" w:styleId="PageNumber">
    <w:name w:val="page number"/>
    <w:uiPriority w:val="99"/>
    <w:rsid w:val="006B24F5"/>
    <w:rPr>
      <w:rFonts w:ascii="Times New Roman" w:hAnsi="Times New Roman" w:cs="Times New Roman"/>
      <w:sz w:val="20"/>
    </w:rPr>
  </w:style>
  <w:style w:type="paragraph" w:styleId="TOC7">
    <w:name w:val="toc 7"/>
    <w:basedOn w:val="Normal"/>
    <w:next w:val="Normal"/>
    <w:autoRedefine/>
    <w:uiPriority w:val="99"/>
    <w:semiHidden/>
    <w:rsid w:val="006B24F5"/>
    <w:pPr>
      <w:ind w:left="1440"/>
    </w:pPr>
  </w:style>
  <w:style w:type="paragraph" w:styleId="BodyTextFirstIndent">
    <w:name w:val="Body Text First Indent"/>
    <w:basedOn w:val="BodyText"/>
    <w:link w:val="BodyTextFirstIndentChar"/>
    <w:uiPriority w:val="99"/>
    <w:rsid w:val="006B24F5"/>
    <w:pPr>
      <w:ind w:firstLine="210"/>
    </w:pPr>
    <w:rPr>
      <w:szCs w:val="24"/>
    </w:rPr>
  </w:style>
  <w:style w:type="character" w:customStyle="1" w:styleId="BodyTextFirstIndentChar">
    <w:name w:val="Body Text First Indent Char"/>
    <w:link w:val="BodyTextFirstIndent"/>
    <w:uiPriority w:val="99"/>
    <w:semiHidden/>
    <w:locked/>
    <w:rsid w:val="00CE5363"/>
    <w:rPr>
      <w:rFonts w:cs="Times New Roman"/>
      <w:sz w:val="24"/>
      <w:szCs w:val="24"/>
      <w:lang w:val="en-GB" w:eastAsia="en-US" w:bidi="ar-SA"/>
    </w:rPr>
  </w:style>
  <w:style w:type="paragraph" w:styleId="BodyTextIndent">
    <w:name w:val="Body Text Indent"/>
    <w:basedOn w:val="Normal"/>
    <w:next w:val="BodyText"/>
    <w:link w:val="BodyTextIndentChar"/>
    <w:uiPriority w:val="99"/>
    <w:rsid w:val="006B24F5"/>
    <w:pPr>
      <w:spacing w:after="180"/>
      <w:ind w:left="357"/>
      <w:jc w:val="both"/>
    </w:pPr>
    <w:rPr>
      <w:szCs w:val="20"/>
      <w:lang w:val="en-GB"/>
    </w:rPr>
  </w:style>
  <w:style w:type="character" w:customStyle="1" w:styleId="BodyTextIndentChar">
    <w:name w:val="Body Text Indent Char"/>
    <w:link w:val="BodyTextIndent"/>
    <w:uiPriority w:val="99"/>
    <w:semiHidden/>
    <w:locked/>
    <w:rsid w:val="00CE5363"/>
    <w:rPr>
      <w:rFonts w:cs="Times New Roman"/>
      <w:sz w:val="24"/>
      <w:szCs w:val="24"/>
    </w:rPr>
  </w:style>
  <w:style w:type="paragraph" w:styleId="BodyTextFirstIndent2">
    <w:name w:val="Body Text First Indent 2"/>
    <w:basedOn w:val="BodyTextIndent"/>
    <w:link w:val="BodyTextFirstIndent2Char"/>
    <w:uiPriority w:val="99"/>
    <w:rsid w:val="006B24F5"/>
    <w:pPr>
      <w:ind w:firstLine="210"/>
    </w:pPr>
  </w:style>
  <w:style w:type="character" w:customStyle="1" w:styleId="BodyTextFirstIndent2Char">
    <w:name w:val="Body Text First Indent 2 Char"/>
    <w:link w:val="BodyTextFirstIndent2"/>
    <w:uiPriority w:val="99"/>
    <w:semiHidden/>
    <w:locked/>
    <w:rsid w:val="00CE5363"/>
    <w:rPr>
      <w:rFonts w:cs="Times New Roman"/>
      <w:sz w:val="24"/>
      <w:szCs w:val="24"/>
    </w:rPr>
  </w:style>
  <w:style w:type="paragraph" w:styleId="EndnoteText">
    <w:name w:val="endnote text"/>
    <w:basedOn w:val="Normal"/>
    <w:link w:val="EndnoteTextChar"/>
    <w:uiPriority w:val="99"/>
    <w:semiHidden/>
    <w:rsid w:val="006B24F5"/>
    <w:rPr>
      <w:sz w:val="20"/>
      <w:szCs w:val="20"/>
      <w:lang w:val="en-GB"/>
    </w:rPr>
  </w:style>
  <w:style w:type="character" w:customStyle="1" w:styleId="EndnoteTextChar">
    <w:name w:val="Endnote Text Char"/>
    <w:link w:val="EndnoteText"/>
    <w:uiPriority w:val="99"/>
    <w:semiHidden/>
    <w:locked/>
    <w:rsid w:val="00CE5363"/>
    <w:rPr>
      <w:rFonts w:cs="Times New Roman"/>
      <w:sz w:val="20"/>
      <w:szCs w:val="20"/>
    </w:rPr>
  </w:style>
  <w:style w:type="paragraph" w:styleId="FootnoteText">
    <w:name w:val="footnote text"/>
    <w:basedOn w:val="BodyText3"/>
    <w:link w:val="FootnoteTextChar"/>
    <w:uiPriority w:val="99"/>
    <w:semiHidden/>
    <w:rsid w:val="006B24F5"/>
  </w:style>
  <w:style w:type="character" w:customStyle="1" w:styleId="FootnoteTextChar">
    <w:name w:val="Footnote Text Char"/>
    <w:link w:val="FootnoteText"/>
    <w:uiPriority w:val="99"/>
    <w:semiHidden/>
    <w:locked/>
    <w:rsid w:val="00CE5363"/>
    <w:rPr>
      <w:rFonts w:cs="Times New Roman"/>
      <w:sz w:val="20"/>
      <w:szCs w:val="20"/>
    </w:rPr>
  </w:style>
  <w:style w:type="paragraph" w:styleId="Index2">
    <w:name w:val="index 2"/>
    <w:basedOn w:val="Normal"/>
    <w:next w:val="Normal"/>
    <w:autoRedefine/>
    <w:uiPriority w:val="99"/>
    <w:semiHidden/>
    <w:rsid w:val="006B24F5"/>
    <w:pPr>
      <w:ind w:left="480" w:hanging="240"/>
    </w:pPr>
  </w:style>
  <w:style w:type="paragraph" w:customStyle="1" w:styleId="CoverTitle">
    <w:name w:val="Cover Title"/>
    <w:basedOn w:val="BodyText"/>
    <w:next w:val="BodyText"/>
    <w:uiPriority w:val="99"/>
    <w:rsid w:val="006B24F5"/>
    <w:pPr>
      <w:spacing w:before="240" w:after="240"/>
      <w:jc w:val="center"/>
    </w:pPr>
    <w:rPr>
      <w:rFonts w:ascii="Times New Roman Bold" w:hAnsi="Times New Roman Bold"/>
      <w:b/>
      <w:sz w:val="32"/>
    </w:rPr>
  </w:style>
  <w:style w:type="paragraph" w:styleId="ListBullet2">
    <w:name w:val="List Bullet 2"/>
    <w:basedOn w:val="Normal"/>
    <w:next w:val="BodyText"/>
    <w:uiPriority w:val="99"/>
    <w:rsid w:val="006B24F5"/>
    <w:pPr>
      <w:tabs>
        <w:tab w:val="num" w:pos="720"/>
      </w:tabs>
      <w:ind w:left="714" w:hanging="357"/>
    </w:pPr>
    <w:rPr>
      <w:szCs w:val="20"/>
    </w:rPr>
  </w:style>
  <w:style w:type="paragraph" w:styleId="ListBullet3">
    <w:name w:val="List Bullet 3"/>
    <w:basedOn w:val="Normal"/>
    <w:next w:val="BodyText"/>
    <w:uiPriority w:val="99"/>
    <w:rsid w:val="006B24F5"/>
    <w:pPr>
      <w:tabs>
        <w:tab w:val="left" w:pos="1077"/>
      </w:tabs>
      <w:ind w:left="1077" w:hanging="357"/>
    </w:pPr>
    <w:rPr>
      <w:szCs w:val="20"/>
    </w:rPr>
  </w:style>
  <w:style w:type="paragraph" w:styleId="ListNumber2">
    <w:name w:val="List Number 2"/>
    <w:basedOn w:val="Normal"/>
    <w:next w:val="BodyText"/>
    <w:uiPriority w:val="99"/>
    <w:rsid w:val="006B24F5"/>
    <w:pPr>
      <w:tabs>
        <w:tab w:val="num" w:pos="720"/>
      </w:tabs>
      <w:ind w:left="720" w:hanging="360"/>
    </w:pPr>
    <w:rPr>
      <w:szCs w:val="20"/>
      <w:lang w:val="en-GB"/>
    </w:rPr>
  </w:style>
  <w:style w:type="paragraph" w:customStyle="1" w:styleId="Listalpha">
    <w:name w:val="List alpha"/>
    <w:basedOn w:val="ListNumber"/>
    <w:next w:val="BodyText"/>
    <w:uiPriority w:val="99"/>
    <w:rsid w:val="006B24F5"/>
    <w:pPr>
      <w:numPr>
        <w:numId w:val="2"/>
      </w:numPr>
    </w:pPr>
  </w:style>
  <w:style w:type="paragraph" w:styleId="TOC8">
    <w:name w:val="toc 8"/>
    <w:basedOn w:val="Normal"/>
    <w:next w:val="Normal"/>
    <w:autoRedefine/>
    <w:uiPriority w:val="99"/>
    <w:semiHidden/>
    <w:rsid w:val="006B24F5"/>
    <w:pPr>
      <w:ind w:left="1680"/>
    </w:pPr>
  </w:style>
  <w:style w:type="paragraph" w:styleId="TOC9">
    <w:name w:val="toc 9"/>
    <w:basedOn w:val="Normal"/>
    <w:next w:val="Normal"/>
    <w:autoRedefine/>
    <w:uiPriority w:val="99"/>
    <w:semiHidden/>
    <w:rsid w:val="006B24F5"/>
    <w:pPr>
      <w:ind w:left="1920"/>
    </w:pPr>
  </w:style>
  <w:style w:type="character" w:styleId="Hyperlink">
    <w:name w:val="Hyperlink"/>
    <w:uiPriority w:val="99"/>
    <w:rsid w:val="006B24F5"/>
    <w:rPr>
      <w:rFonts w:ascii="Times New Roman" w:hAnsi="Times New Roman" w:cs="Times New Roman"/>
      <w:color w:val="0000FF"/>
      <w:sz w:val="20"/>
      <w:u w:val="single"/>
    </w:rPr>
  </w:style>
  <w:style w:type="character" w:styleId="FootnoteReference">
    <w:name w:val="footnote reference"/>
    <w:uiPriority w:val="99"/>
    <w:semiHidden/>
    <w:rsid w:val="006B24F5"/>
    <w:rPr>
      <w:rFonts w:cs="Times New Roman"/>
      <w:position w:val="6"/>
      <w:sz w:val="16"/>
    </w:rPr>
  </w:style>
  <w:style w:type="character" w:customStyle="1" w:styleId="BodyTextChar1">
    <w:name w:val="Body Text Char1"/>
    <w:aliases w:val="Char Char Char Char1,Char Char1,Char Char Char Cha Char Char Char1,Char Char Char Cha Char Char Char C Char1,Char Char Char Cha Char2,Char Char Char Cha Char Char2,Char Char Char Cha Char Char Char C Char Char Char Char1, Char Char"/>
    <w:link w:val="BodyText"/>
    <w:locked/>
    <w:rsid w:val="00213442"/>
    <w:rPr>
      <w:rFonts w:cs="Times New Roman"/>
      <w:sz w:val="24"/>
      <w:lang w:val="en-GB" w:eastAsia="en-US" w:bidi="ar-SA"/>
    </w:rPr>
  </w:style>
  <w:style w:type="paragraph" w:styleId="NormalWeb">
    <w:name w:val="Normal (Web)"/>
    <w:basedOn w:val="Normal"/>
    <w:rsid w:val="00213442"/>
    <w:pPr>
      <w:spacing w:before="100" w:beforeAutospacing="1" w:after="100" w:afterAutospacing="1"/>
    </w:pPr>
  </w:style>
  <w:style w:type="character" w:styleId="EndnoteReference">
    <w:name w:val="endnote reference"/>
    <w:uiPriority w:val="99"/>
    <w:semiHidden/>
    <w:rsid w:val="00944BFB"/>
    <w:rPr>
      <w:rFonts w:cs="Times New Roman"/>
      <w:vertAlign w:val="superscript"/>
    </w:rPr>
  </w:style>
  <w:style w:type="paragraph" w:customStyle="1" w:styleId="MSDS-TZeile">
    <w:name w:val="MSDS-TZeile"/>
    <w:basedOn w:val="Normal"/>
    <w:next w:val="Normal"/>
    <w:link w:val="MSDS-TZeileChar"/>
    <w:rsid w:val="00E016C9"/>
    <w:pPr>
      <w:autoSpaceDE w:val="0"/>
      <w:autoSpaceDN w:val="0"/>
      <w:ind w:left="57"/>
    </w:pPr>
    <w:rPr>
      <w:rFonts w:ascii="Arial" w:hAnsi="Arial" w:cs="Arial"/>
      <w:sz w:val="20"/>
      <w:szCs w:val="20"/>
      <w:lang w:val="de-DE"/>
    </w:rPr>
  </w:style>
  <w:style w:type="character" w:customStyle="1" w:styleId="MSDS-TZeileChar">
    <w:name w:val="MSDS-TZeile Char"/>
    <w:link w:val="MSDS-TZeile"/>
    <w:locked/>
    <w:rsid w:val="00E016C9"/>
    <w:rPr>
      <w:rFonts w:ascii="Arial" w:hAnsi="Arial" w:cs="Arial"/>
      <w:lang w:val="de-DE"/>
    </w:rPr>
  </w:style>
  <w:style w:type="paragraph" w:customStyle="1" w:styleId="Text">
    <w:name w:val="Text"/>
    <w:basedOn w:val="Normal"/>
    <w:uiPriority w:val="99"/>
    <w:rsid w:val="00B0783B"/>
    <w:pPr>
      <w:spacing w:before="240" w:line="300" w:lineRule="auto"/>
    </w:pPr>
    <w:rPr>
      <w:szCs w:val="20"/>
    </w:rPr>
  </w:style>
  <w:style w:type="paragraph" w:customStyle="1" w:styleId="MSDS-TUZeile">
    <w:name w:val="MSDS-TUZeile"/>
    <w:basedOn w:val="Normal"/>
    <w:uiPriority w:val="99"/>
    <w:rsid w:val="0011696A"/>
    <w:pPr>
      <w:autoSpaceDE w:val="0"/>
      <w:autoSpaceDN w:val="0"/>
      <w:ind w:left="57"/>
    </w:pPr>
    <w:rPr>
      <w:rFonts w:ascii="Arial" w:hAnsi="Arial" w:cs="Arial"/>
      <w:sz w:val="20"/>
      <w:szCs w:val="20"/>
      <w:lang w:val="de-DE"/>
    </w:rPr>
  </w:style>
  <w:style w:type="paragraph" w:customStyle="1" w:styleId="ESRText">
    <w:name w:val="ESR Text"/>
    <w:basedOn w:val="Normal"/>
    <w:uiPriority w:val="99"/>
    <w:rsid w:val="0064267E"/>
    <w:pPr>
      <w:tabs>
        <w:tab w:val="left" w:pos="1134"/>
      </w:tabs>
      <w:jc w:val="both"/>
    </w:pPr>
    <w:rPr>
      <w:rFonts w:eastAsia="MS Mincho"/>
      <w:kern w:val="28"/>
      <w:szCs w:val="20"/>
      <w:lang w:val="en-GB" w:eastAsia="ja-JP"/>
    </w:rPr>
  </w:style>
  <w:style w:type="character" w:styleId="CommentReference">
    <w:name w:val="annotation reference"/>
    <w:uiPriority w:val="99"/>
    <w:semiHidden/>
    <w:rsid w:val="00472624"/>
    <w:rPr>
      <w:rFonts w:cs="Times New Roman"/>
      <w:sz w:val="16"/>
      <w:szCs w:val="16"/>
    </w:rPr>
  </w:style>
  <w:style w:type="paragraph" w:styleId="CommentText">
    <w:name w:val="annotation text"/>
    <w:basedOn w:val="Normal"/>
    <w:link w:val="CommentTextChar"/>
    <w:uiPriority w:val="99"/>
    <w:semiHidden/>
    <w:rsid w:val="00472624"/>
    <w:rPr>
      <w:sz w:val="20"/>
      <w:szCs w:val="20"/>
    </w:rPr>
  </w:style>
  <w:style w:type="character" w:customStyle="1" w:styleId="CommentTextChar">
    <w:name w:val="Comment Text Char"/>
    <w:link w:val="CommentText"/>
    <w:uiPriority w:val="99"/>
    <w:semiHidden/>
    <w:locked/>
    <w:rsid w:val="00472624"/>
    <w:rPr>
      <w:rFonts w:cs="Times New Roman"/>
    </w:rPr>
  </w:style>
  <w:style w:type="paragraph" w:styleId="CommentSubject">
    <w:name w:val="annotation subject"/>
    <w:basedOn w:val="CommentText"/>
    <w:next w:val="CommentText"/>
    <w:link w:val="CommentSubjectChar"/>
    <w:uiPriority w:val="99"/>
    <w:semiHidden/>
    <w:rsid w:val="00472624"/>
    <w:rPr>
      <w:b/>
      <w:bCs/>
    </w:rPr>
  </w:style>
  <w:style w:type="character" w:customStyle="1" w:styleId="CommentSubjectChar">
    <w:name w:val="Comment Subject Char"/>
    <w:link w:val="CommentSubject"/>
    <w:uiPriority w:val="99"/>
    <w:semiHidden/>
    <w:locked/>
    <w:rsid w:val="00472624"/>
    <w:rPr>
      <w:rFonts w:cs="Times New Roman"/>
      <w:b/>
      <w:bCs/>
    </w:rPr>
  </w:style>
  <w:style w:type="paragraph" w:styleId="BalloonText">
    <w:name w:val="Balloon Text"/>
    <w:basedOn w:val="Normal"/>
    <w:link w:val="BalloonTextChar"/>
    <w:uiPriority w:val="99"/>
    <w:semiHidden/>
    <w:rsid w:val="00472624"/>
    <w:rPr>
      <w:rFonts w:ascii="Tahoma" w:hAnsi="Tahoma" w:cs="Tahoma"/>
      <w:sz w:val="16"/>
      <w:szCs w:val="16"/>
    </w:rPr>
  </w:style>
  <w:style w:type="character" w:customStyle="1" w:styleId="BalloonTextChar">
    <w:name w:val="Balloon Text Char"/>
    <w:link w:val="BalloonText"/>
    <w:uiPriority w:val="99"/>
    <w:semiHidden/>
    <w:locked/>
    <w:rsid w:val="00472624"/>
    <w:rPr>
      <w:rFonts w:ascii="Tahoma" w:hAnsi="Tahoma" w:cs="Tahoma"/>
      <w:sz w:val="16"/>
      <w:szCs w:val="16"/>
    </w:rPr>
  </w:style>
  <w:style w:type="paragraph" w:customStyle="1" w:styleId="MSDS-Zeile">
    <w:name w:val="MSDS-Zeile"/>
    <w:basedOn w:val="Normal"/>
    <w:uiPriority w:val="99"/>
    <w:rsid w:val="00213E8E"/>
    <w:pPr>
      <w:tabs>
        <w:tab w:val="left" w:pos="3119"/>
        <w:tab w:val="left" w:pos="3402"/>
        <w:tab w:val="left" w:pos="4678"/>
        <w:tab w:val="left" w:pos="4962"/>
      </w:tabs>
      <w:autoSpaceDE w:val="0"/>
      <w:autoSpaceDN w:val="0"/>
      <w:ind w:left="57"/>
    </w:pPr>
    <w:rPr>
      <w:sz w:val="20"/>
      <w:szCs w:val="20"/>
      <w:lang w:val="de-DE"/>
    </w:rPr>
  </w:style>
  <w:style w:type="character" w:styleId="FollowedHyperlink">
    <w:name w:val="FollowedHyperlink"/>
    <w:uiPriority w:val="99"/>
    <w:rsid w:val="00905F18"/>
    <w:rPr>
      <w:rFonts w:cs="Times New Roman"/>
      <w:color w:val="800080"/>
      <w:u w:val="single"/>
    </w:rPr>
  </w:style>
  <w:style w:type="paragraph" w:styleId="Revision">
    <w:name w:val="Revision"/>
    <w:hidden/>
    <w:uiPriority w:val="99"/>
    <w:semiHidden/>
    <w:rsid w:val="00F0198E"/>
    <w:rPr>
      <w:sz w:val="24"/>
      <w:szCs w:val="24"/>
    </w:rPr>
  </w:style>
  <w:style w:type="character" w:styleId="Strong">
    <w:name w:val="Strong"/>
    <w:uiPriority w:val="99"/>
    <w:qFormat/>
    <w:rsid w:val="00670C6A"/>
    <w:rPr>
      <w:rFonts w:cs="Times New Roman"/>
      <w:b/>
      <w:bCs/>
    </w:rPr>
  </w:style>
  <w:style w:type="paragraph" w:styleId="ListParagraph">
    <w:name w:val="List Paragraph"/>
    <w:basedOn w:val="Normal"/>
    <w:uiPriority w:val="99"/>
    <w:qFormat/>
    <w:rsid w:val="007461F0"/>
    <w:pPr>
      <w:ind w:left="720"/>
      <w:contextualSpacing/>
    </w:pPr>
  </w:style>
  <w:style w:type="paragraph" w:styleId="NoSpacing">
    <w:name w:val="No Spacing"/>
    <w:uiPriority w:val="99"/>
    <w:qFormat/>
    <w:rsid w:val="00855C35"/>
    <w:rPr>
      <w:sz w:val="24"/>
      <w:szCs w:val="24"/>
    </w:rPr>
  </w:style>
  <w:style w:type="character" w:customStyle="1" w:styleId="spelle">
    <w:name w:val="spelle"/>
    <w:uiPriority w:val="99"/>
    <w:rsid w:val="00D20EB1"/>
    <w:rPr>
      <w:rFonts w:cs="Times New Roman"/>
    </w:rPr>
  </w:style>
  <w:style w:type="table" w:styleId="TableGrid">
    <w:name w:val="Table Grid"/>
    <w:basedOn w:val="TableNormal"/>
    <w:uiPriority w:val="59"/>
    <w:locked/>
    <w:rsid w:val="00361D7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Caption">
    <w:name w:val="Table Caption"/>
    <w:basedOn w:val="Caption"/>
    <w:rsid w:val="00F074F0"/>
    <w:pP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972602">
      <w:bodyDiv w:val="1"/>
      <w:marLeft w:val="0"/>
      <w:marRight w:val="0"/>
      <w:marTop w:val="0"/>
      <w:marBottom w:val="0"/>
      <w:divBdr>
        <w:top w:val="none" w:sz="0" w:space="0" w:color="auto"/>
        <w:left w:val="none" w:sz="0" w:space="0" w:color="auto"/>
        <w:bottom w:val="none" w:sz="0" w:space="0" w:color="auto"/>
        <w:right w:val="none" w:sz="0" w:space="0" w:color="auto"/>
      </w:divBdr>
    </w:div>
    <w:div w:id="570845637">
      <w:bodyDiv w:val="1"/>
      <w:marLeft w:val="0"/>
      <w:marRight w:val="0"/>
      <w:marTop w:val="0"/>
      <w:marBottom w:val="0"/>
      <w:divBdr>
        <w:top w:val="none" w:sz="0" w:space="0" w:color="auto"/>
        <w:left w:val="none" w:sz="0" w:space="0" w:color="auto"/>
        <w:bottom w:val="none" w:sz="0" w:space="0" w:color="auto"/>
        <w:right w:val="none" w:sz="0" w:space="0" w:color="auto"/>
      </w:divBdr>
    </w:div>
    <w:div w:id="647831749">
      <w:bodyDiv w:val="1"/>
      <w:marLeft w:val="0"/>
      <w:marRight w:val="0"/>
      <w:marTop w:val="0"/>
      <w:marBottom w:val="0"/>
      <w:divBdr>
        <w:top w:val="none" w:sz="0" w:space="0" w:color="auto"/>
        <w:left w:val="none" w:sz="0" w:space="0" w:color="auto"/>
        <w:bottom w:val="none" w:sz="0" w:space="0" w:color="auto"/>
        <w:right w:val="none" w:sz="0" w:space="0" w:color="auto"/>
      </w:divBdr>
      <w:divsChild>
        <w:div w:id="864907059">
          <w:marLeft w:val="0"/>
          <w:marRight w:val="0"/>
          <w:marTop w:val="0"/>
          <w:marBottom w:val="0"/>
          <w:divBdr>
            <w:top w:val="none" w:sz="0" w:space="0" w:color="auto"/>
            <w:left w:val="none" w:sz="0" w:space="0" w:color="auto"/>
            <w:bottom w:val="none" w:sz="0" w:space="0" w:color="auto"/>
            <w:right w:val="none" w:sz="0" w:space="0" w:color="auto"/>
          </w:divBdr>
          <w:divsChild>
            <w:div w:id="1498766090">
              <w:marLeft w:val="0"/>
              <w:marRight w:val="0"/>
              <w:marTop w:val="0"/>
              <w:marBottom w:val="0"/>
              <w:divBdr>
                <w:top w:val="none" w:sz="0" w:space="0" w:color="auto"/>
                <w:left w:val="none" w:sz="0" w:space="0" w:color="auto"/>
                <w:bottom w:val="none" w:sz="0" w:space="0" w:color="auto"/>
                <w:right w:val="none" w:sz="0" w:space="0" w:color="auto"/>
              </w:divBdr>
              <w:divsChild>
                <w:div w:id="964584864">
                  <w:marLeft w:val="0"/>
                  <w:marRight w:val="0"/>
                  <w:marTop w:val="0"/>
                  <w:marBottom w:val="0"/>
                  <w:divBdr>
                    <w:top w:val="none" w:sz="0" w:space="0" w:color="auto"/>
                    <w:left w:val="none" w:sz="0" w:space="0" w:color="auto"/>
                    <w:bottom w:val="none" w:sz="0" w:space="0" w:color="auto"/>
                    <w:right w:val="none" w:sz="0" w:space="0" w:color="auto"/>
                  </w:divBdr>
                  <w:divsChild>
                    <w:div w:id="1552766957">
                      <w:marLeft w:val="0"/>
                      <w:marRight w:val="0"/>
                      <w:marTop w:val="0"/>
                      <w:marBottom w:val="0"/>
                      <w:divBdr>
                        <w:top w:val="none" w:sz="0" w:space="0" w:color="auto"/>
                        <w:left w:val="none" w:sz="0" w:space="0" w:color="auto"/>
                        <w:bottom w:val="none" w:sz="0" w:space="0" w:color="auto"/>
                        <w:right w:val="none" w:sz="0" w:space="0" w:color="auto"/>
                      </w:divBdr>
                      <w:divsChild>
                        <w:div w:id="2071726630">
                          <w:marLeft w:val="0"/>
                          <w:marRight w:val="0"/>
                          <w:marTop w:val="0"/>
                          <w:marBottom w:val="0"/>
                          <w:divBdr>
                            <w:top w:val="none" w:sz="0" w:space="0" w:color="auto"/>
                            <w:left w:val="none" w:sz="0" w:space="0" w:color="auto"/>
                            <w:bottom w:val="none" w:sz="0" w:space="0" w:color="auto"/>
                            <w:right w:val="none" w:sz="0" w:space="0" w:color="auto"/>
                          </w:divBdr>
                          <w:divsChild>
                            <w:div w:id="914315070">
                              <w:marLeft w:val="0"/>
                              <w:marRight w:val="0"/>
                              <w:marTop w:val="0"/>
                              <w:marBottom w:val="0"/>
                              <w:divBdr>
                                <w:top w:val="none" w:sz="0" w:space="0" w:color="auto"/>
                                <w:left w:val="none" w:sz="0" w:space="0" w:color="auto"/>
                                <w:bottom w:val="none" w:sz="0" w:space="0" w:color="auto"/>
                                <w:right w:val="none" w:sz="0" w:space="0" w:color="auto"/>
                              </w:divBdr>
                              <w:divsChild>
                                <w:div w:id="577132498">
                                  <w:marLeft w:val="0"/>
                                  <w:marRight w:val="0"/>
                                  <w:marTop w:val="0"/>
                                  <w:marBottom w:val="0"/>
                                  <w:divBdr>
                                    <w:top w:val="none" w:sz="0" w:space="0" w:color="auto"/>
                                    <w:left w:val="none" w:sz="0" w:space="0" w:color="auto"/>
                                    <w:bottom w:val="none" w:sz="0" w:space="0" w:color="auto"/>
                                    <w:right w:val="none" w:sz="0" w:space="0" w:color="auto"/>
                                  </w:divBdr>
                                  <w:divsChild>
                                    <w:div w:id="1455751265">
                                      <w:marLeft w:val="0"/>
                                      <w:marRight w:val="0"/>
                                      <w:marTop w:val="0"/>
                                      <w:marBottom w:val="0"/>
                                      <w:divBdr>
                                        <w:top w:val="none" w:sz="0" w:space="0" w:color="auto"/>
                                        <w:left w:val="none" w:sz="0" w:space="0" w:color="auto"/>
                                        <w:bottom w:val="none" w:sz="0" w:space="0" w:color="auto"/>
                                        <w:right w:val="none" w:sz="0" w:space="0" w:color="auto"/>
                                      </w:divBdr>
                                      <w:divsChild>
                                        <w:div w:id="1117024206">
                                          <w:marLeft w:val="0"/>
                                          <w:marRight w:val="0"/>
                                          <w:marTop w:val="0"/>
                                          <w:marBottom w:val="0"/>
                                          <w:divBdr>
                                            <w:top w:val="none" w:sz="0" w:space="0" w:color="auto"/>
                                            <w:left w:val="none" w:sz="0" w:space="0" w:color="auto"/>
                                            <w:bottom w:val="none" w:sz="0" w:space="0" w:color="auto"/>
                                            <w:right w:val="none" w:sz="0" w:space="0" w:color="auto"/>
                                          </w:divBdr>
                                          <w:divsChild>
                                            <w:div w:id="624197009">
                                              <w:marLeft w:val="0"/>
                                              <w:marRight w:val="0"/>
                                              <w:marTop w:val="0"/>
                                              <w:marBottom w:val="0"/>
                                              <w:divBdr>
                                                <w:top w:val="none" w:sz="0" w:space="0" w:color="auto"/>
                                                <w:left w:val="none" w:sz="0" w:space="0" w:color="auto"/>
                                                <w:bottom w:val="none" w:sz="0" w:space="0" w:color="auto"/>
                                                <w:right w:val="none" w:sz="0" w:space="0" w:color="auto"/>
                                              </w:divBdr>
                                              <w:divsChild>
                                                <w:div w:id="54476278">
                                                  <w:marLeft w:val="0"/>
                                                  <w:marRight w:val="0"/>
                                                  <w:marTop w:val="0"/>
                                                  <w:marBottom w:val="0"/>
                                                  <w:divBdr>
                                                    <w:top w:val="none" w:sz="0" w:space="0" w:color="auto"/>
                                                    <w:left w:val="none" w:sz="0" w:space="0" w:color="auto"/>
                                                    <w:bottom w:val="none" w:sz="0" w:space="0" w:color="auto"/>
                                                    <w:right w:val="none" w:sz="0" w:space="0" w:color="auto"/>
                                                  </w:divBdr>
                                                  <w:divsChild>
                                                    <w:div w:id="1473643964">
                                                      <w:marLeft w:val="0"/>
                                                      <w:marRight w:val="0"/>
                                                      <w:marTop w:val="0"/>
                                                      <w:marBottom w:val="0"/>
                                                      <w:divBdr>
                                                        <w:top w:val="none" w:sz="0" w:space="0" w:color="auto"/>
                                                        <w:left w:val="none" w:sz="0" w:space="0" w:color="auto"/>
                                                        <w:bottom w:val="none" w:sz="0" w:space="0" w:color="auto"/>
                                                        <w:right w:val="none" w:sz="0" w:space="0" w:color="auto"/>
                                                      </w:divBdr>
                                                      <w:divsChild>
                                                        <w:div w:id="315115033">
                                                          <w:marLeft w:val="0"/>
                                                          <w:marRight w:val="0"/>
                                                          <w:marTop w:val="0"/>
                                                          <w:marBottom w:val="0"/>
                                                          <w:divBdr>
                                                            <w:top w:val="none" w:sz="0" w:space="0" w:color="auto"/>
                                                            <w:left w:val="none" w:sz="0" w:space="0" w:color="auto"/>
                                                            <w:bottom w:val="none" w:sz="0" w:space="0" w:color="auto"/>
                                                            <w:right w:val="none" w:sz="0" w:space="0" w:color="auto"/>
                                                          </w:divBdr>
                                                          <w:divsChild>
                                                            <w:div w:id="1620645143">
                                                              <w:marLeft w:val="0"/>
                                                              <w:marRight w:val="0"/>
                                                              <w:marTop w:val="0"/>
                                                              <w:marBottom w:val="0"/>
                                                              <w:divBdr>
                                                                <w:top w:val="none" w:sz="0" w:space="0" w:color="auto"/>
                                                                <w:left w:val="none" w:sz="0" w:space="0" w:color="auto"/>
                                                                <w:bottom w:val="none" w:sz="0" w:space="0" w:color="auto"/>
                                                                <w:right w:val="none" w:sz="0" w:space="0" w:color="auto"/>
                                                              </w:divBdr>
                                                              <w:divsChild>
                                                                <w:div w:id="1344934192">
                                                                  <w:marLeft w:val="0"/>
                                                                  <w:marRight w:val="0"/>
                                                                  <w:marTop w:val="0"/>
                                                                  <w:marBottom w:val="0"/>
                                                                  <w:divBdr>
                                                                    <w:top w:val="none" w:sz="0" w:space="0" w:color="auto"/>
                                                                    <w:left w:val="none" w:sz="0" w:space="0" w:color="auto"/>
                                                                    <w:bottom w:val="none" w:sz="0" w:space="0" w:color="auto"/>
                                                                    <w:right w:val="none" w:sz="0" w:space="0" w:color="auto"/>
                                                                  </w:divBdr>
                                                                  <w:divsChild>
                                                                    <w:div w:id="774905977">
                                                                      <w:marLeft w:val="0"/>
                                                                      <w:marRight w:val="0"/>
                                                                      <w:marTop w:val="0"/>
                                                                      <w:marBottom w:val="0"/>
                                                                      <w:divBdr>
                                                                        <w:top w:val="none" w:sz="0" w:space="0" w:color="auto"/>
                                                                        <w:left w:val="none" w:sz="0" w:space="0" w:color="auto"/>
                                                                        <w:bottom w:val="none" w:sz="0" w:space="0" w:color="auto"/>
                                                                        <w:right w:val="none" w:sz="0" w:space="0" w:color="auto"/>
                                                                      </w:divBdr>
                                                                      <w:divsChild>
                                                                        <w:div w:id="1671103906">
                                                                          <w:marLeft w:val="0"/>
                                                                          <w:marRight w:val="0"/>
                                                                          <w:marTop w:val="0"/>
                                                                          <w:marBottom w:val="0"/>
                                                                          <w:divBdr>
                                                                            <w:top w:val="none" w:sz="0" w:space="0" w:color="auto"/>
                                                                            <w:left w:val="none" w:sz="0" w:space="0" w:color="auto"/>
                                                                            <w:bottom w:val="none" w:sz="0" w:space="0" w:color="auto"/>
                                                                            <w:right w:val="none" w:sz="0" w:space="0" w:color="auto"/>
                                                                          </w:divBdr>
                                                                          <w:divsChild>
                                                                            <w:div w:id="1001471450">
                                                                              <w:marLeft w:val="0"/>
                                                                              <w:marRight w:val="0"/>
                                                                              <w:marTop w:val="0"/>
                                                                              <w:marBottom w:val="0"/>
                                                                              <w:divBdr>
                                                                                <w:top w:val="none" w:sz="0" w:space="0" w:color="auto"/>
                                                                                <w:left w:val="none" w:sz="0" w:space="0" w:color="auto"/>
                                                                                <w:bottom w:val="none" w:sz="0" w:space="0" w:color="auto"/>
                                                                                <w:right w:val="none" w:sz="0" w:space="0" w:color="auto"/>
                                                                              </w:divBdr>
                                                                              <w:divsChild>
                                                                                <w:div w:id="580064716">
                                                                                  <w:marLeft w:val="0"/>
                                                                                  <w:marRight w:val="0"/>
                                                                                  <w:marTop w:val="0"/>
                                                                                  <w:marBottom w:val="0"/>
                                                                                  <w:divBdr>
                                                                                    <w:top w:val="none" w:sz="0" w:space="0" w:color="auto"/>
                                                                                    <w:left w:val="none" w:sz="0" w:space="0" w:color="auto"/>
                                                                                    <w:bottom w:val="none" w:sz="0" w:space="0" w:color="auto"/>
                                                                                    <w:right w:val="none" w:sz="0" w:space="0" w:color="auto"/>
                                                                                  </w:divBdr>
                                                                                  <w:divsChild>
                                                                                    <w:div w:id="1633901492">
                                                                                      <w:marLeft w:val="0"/>
                                                                                      <w:marRight w:val="0"/>
                                                                                      <w:marTop w:val="0"/>
                                                                                      <w:marBottom w:val="0"/>
                                                                                      <w:divBdr>
                                                                                        <w:top w:val="none" w:sz="0" w:space="0" w:color="auto"/>
                                                                                        <w:left w:val="none" w:sz="0" w:space="0" w:color="auto"/>
                                                                                        <w:bottom w:val="none" w:sz="0" w:space="0" w:color="auto"/>
                                                                                        <w:right w:val="none" w:sz="0" w:space="0" w:color="auto"/>
                                                                                      </w:divBdr>
                                                                                      <w:divsChild>
                                                                                        <w:div w:id="1062828113">
                                                                                          <w:marLeft w:val="0"/>
                                                                                          <w:marRight w:val="0"/>
                                                                                          <w:marTop w:val="0"/>
                                                                                          <w:marBottom w:val="0"/>
                                                                                          <w:divBdr>
                                                                                            <w:top w:val="none" w:sz="0" w:space="0" w:color="auto"/>
                                                                                            <w:left w:val="none" w:sz="0" w:space="0" w:color="auto"/>
                                                                                            <w:bottom w:val="none" w:sz="0" w:space="0" w:color="auto"/>
                                                                                            <w:right w:val="none" w:sz="0" w:space="0" w:color="auto"/>
                                                                                          </w:divBdr>
                                                                                          <w:divsChild>
                                                                                            <w:div w:id="1933737057">
                                                                                              <w:marLeft w:val="0"/>
                                                                                              <w:marRight w:val="0"/>
                                                                                              <w:marTop w:val="0"/>
                                                                                              <w:marBottom w:val="0"/>
                                                                                              <w:divBdr>
                                                                                                <w:top w:val="none" w:sz="0" w:space="0" w:color="auto"/>
                                                                                                <w:left w:val="none" w:sz="0" w:space="0" w:color="auto"/>
                                                                                                <w:bottom w:val="none" w:sz="0" w:space="0" w:color="auto"/>
                                                                                                <w:right w:val="none" w:sz="0" w:space="0" w:color="auto"/>
                                                                                              </w:divBdr>
                                                                                              <w:divsChild>
                                                                                                <w:div w:id="621379276">
                                                                                                  <w:marLeft w:val="0"/>
                                                                                                  <w:marRight w:val="0"/>
                                                                                                  <w:marTop w:val="0"/>
                                                                                                  <w:marBottom w:val="0"/>
                                                                                                  <w:divBdr>
                                                                                                    <w:top w:val="none" w:sz="0" w:space="0" w:color="auto"/>
                                                                                                    <w:left w:val="none" w:sz="0" w:space="0" w:color="auto"/>
                                                                                                    <w:bottom w:val="none" w:sz="0" w:space="0" w:color="auto"/>
                                                                                                    <w:right w:val="none" w:sz="0" w:space="0" w:color="auto"/>
                                                                                                  </w:divBdr>
                                                                                                  <w:divsChild>
                                                                                                    <w:div w:id="869874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74302382">
      <w:bodyDiv w:val="1"/>
      <w:marLeft w:val="0"/>
      <w:marRight w:val="0"/>
      <w:marTop w:val="0"/>
      <w:marBottom w:val="0"/>
      <w:divBdr>
        <w:top w:val="none" w:sz="0" w:space="0" w:color="auto"/>
        <w:left w:val="none" w:sz="0" w:space="0" w:color="auto"/>
        <w:bottom w:val="none" w:sz="0" w:space="0" w:color="auto"/>
        <w:right w:val="none" w:sz="0" w:space="0" w:color="auto"/>
      </w:divBdr>
    </w:div>
    <w:div w:id="1505317835">
      <w:bodyDiv w:val="1"/>
      <w:marLeft w:val="0"/>
      <w:marRight w:val="0"/>
      <w:marTop w:val="0"/>
      <w:marBottom w:val="0"/>
      <w:divBdr>
        <w:top w:val="none" w:sz="0" w:space="0" w:color="auto"/>
        <w:left w:val="none" w:sz="0" w:space="0" w:color="auto"/>
        <w:bottom w:val="none" w:sz="0" w:space="0" w:color="auto"/>
        <w:right w:val="none" w:sz="0" w:space="0" w:color="auto"/>
      </w:divBdr>
    </w:div>
    <w:div w:id="1523084796">
      <w:bodyDiv w:val="1"/>
      <w:marLeft w:val="0"/>
      <w:marRight w:val="0"/>
      <w:marTop w:val="0"/>
      <w:marBottom w:val="0"/>
      <w:divBdr>
        <w:top w:val="none" w:sz="0" w:space="0" w:color="auto"/>
        <w:left w:val="none" w:sz="0" w:space="0" w:color="auto"/>
        <w:bottom w:val="none" w:sz="0" w:space="0" w:color="auto"/>
        <w:right w:val="none" w:sz="0" w:space="0" w:color="auto"/>
      </w:divBdr>
      <w:divsChild>
        <w:div w:id="220142106">
          <w:marLeft w:val="0"/>
          <w:marRight w:val="0"/>
          <w:marTop w:val="0"/>
          <w:marBottom w:val="0"/>
          <w:divBdr>
            <w:top w:val="none" w:sz="0" w:space="0" w:color="auto"/>
            <w:left w:val="none" w:sz="0" w:space="0" w:color="auto"/>
            <w:bottom w:val="none" w:sz="0" w:space="0" w:color="auto"/>
            <w:right w:val="none" w:sz="0" w:space="0" w:color="auto"/>
          </w:divBdr>
          <w:divsChild>
            <w:div w:id="811992742">
              <w:marLeft w:val="0"/>
              <w:marRight w:val="0"/>
              <w:marTop w:val="0"/>
              <w:marBottom w:val="0"/>
              <w:divBdr>
                <w:top w:val="none" w:sz="0" w:space="0" w:color="auto"/>
                <w:left w:val="none" w:sz="0" w:space="0" w:color="auto"/>
                <w:bottom w:val="none" w:sz="0" w:space="0" w:color="auto"/>
                <w:right w:val="none" w:sz="0" w:space="0" w:color="auto"/>
              </w:divBdr>
              <w:divsChild>
                <w:div w:id="156966605">
                  <w:marLeft w:val="0"/>
                  <w:marRight w:val="0"/>
                  <w:marTop w:val="0"/>
                  <w:marBottom w:val="0"/>
                  <w:divBdr>
                    <w:top w:val="none" w:sz="0" w:space="0" w:color="auto"/>
                    <w:left w:val="none" w:sz="0" w:space="0" w:color="auto"/>
                    <w:bottom w:val="none" w:sz="0" w:space="0" w:color="auto"/>
                    <w:right w:val="none" w:sz="0" w:space="0" w:color="auto"/>
                  </w:divBdr>
                  <w:divsChild>
                    <w:div w:id="1629775492">
                      <w:marLeft w:val="0"/>
                      <w:marRight w:val="0"/>
                      <w:marTop w:val="0"/>
                      <w:marBottom w:val="0"/>
                      <w:divBdr>
                        <w:top w:val="none" w:sz="0" w:space="0" w:color="auto"/>
                        <w:left w:val="none" w:sz="0" w:space="0" w:color="auto"/>
                        <w:bottom w:val="none" w:sz="0" w:space="0" w:color="auto"/>
                        <w:right w:val="none" w:sz="0" w:space="0" w:color="auto"/>
                      </w:divBdr>
                      <w:divsChild>
                        <w:div w:id="2098476712">
                          <w:marLeft w:val="0"/>
                          <w:marRight w:val="0"/>
                          <w:marTop w:val="0"/>
                          <w:marBottom w:val="0"/>
                          <w:divBdr>
                            <w:top w:val="none" w:sz="0" w:space="0" w:color="auto"/>
                            <w:left w:val="none" w:sz="0" w:space="0" w:color="auto"/>
                            <w:bottom w:val="none" w:sz="0" w:space="0" w:color="auto"/>
                            <w:right w:val="none" w:sz="0" w:space="0" w:color="auto"/>
                          </w:divBdr>
                          <w:divsChild>
                            <w:div w:id="277567310">
                              <w:marLeft w:val="0"/>
                              <w:marRight w:val="0"/>
                              <w:marTop w:val="0"/>
                              <w:marBottom w:val="0"/>
                              <w:divBdr>
                                <w:top w:val="none" w:sz="0" w:space="0" w:color="auto"/>
                                <w:left w:val="none" w:sz="0" w:space="0" w:color="auto"/>
                                <w:bottom w:val="none" w:sz="0" w:space="0" w:color="auto"/>
                                <w:right w:val="none" w:sz="0" w:space="0" w:color="auto"/>
                              </w:divBdr>
                              <w:divsChild>
                                <w:div w:id="972978662">
                                  <w:marLeft w:val="0"/>
                                  <w:marRight w:val="0"/>
                                  <w:marTop w:val="0"/>
                                  <w:marBottom w:val="0"/>
                                  <w:divBdr>
                                    <w:top w:val="none" w:sz="0" w:space="0" w:color="auto"/>
                                    <w:left w:val="none" w:sz="0" w:space="0" w:color="auto"/>
                                    <w:bottom w:val="none" w:sz="0" w:space="0" w:color="auto"/>
                                    <w:right w:val="none" w:sz="0" w:space="0" w:color="auto"/>
                                  </w:divBdr>
                                  <w:divsChild>
                                    <w:div w:id="1639190844">
                                      <w:marLeft w:val="0"/>
                                      <w:marRight w:val="0"/>
                                      <w:marTop w:val="0"/>
                                      <w:marBottom w:val="0"/>
                                      <w:divBdr>
                                        <w:top w:val="none" w:sz="0" w:space="0" w:color="auto"/>
                                        <w:left w:val="none" w:sz="0" w:space="0" w:color="auto"/>
                                        <w:bottom w:val="none" w:sz="0" w:space="0" w:color="auto"/>
                                        <w:right w:val="none" w:sz="0" w:space="0" w:color="auto"/>
                                      </w:divBdr>
                                      <w:divsChild>
                                        <w:div w:id="1996715789">
                                          <w:marLeft w:val="0"/>
                                          <w:marRight w:val="0"/>
                                          <w:marTop w:val="0"/>
                                          <w:marBottom w:val="0"/>
                                          <w:divBdr>
                                            <w:top w:val="none" w:sz="0" w:space="0" w:color="auto"/>
                                            <w:left w:val="none" w:sz="0" w:space="0" w:color="auto"/>
                                            <w:bottom w:val="none" w:sz="0" w:space="0" w:color="auto"/>
                                            <w:right w:val="none" w:sz="0" w:space="0" w:color="auto"/>
                                          </w:divBdr>
                                          <w:divsChild>
                                            <w:div w:id="703135917">
                                              <w:marLeft w:val="0"/>
                                              <w:marRight w:val="0"/>
                                              <w:marTop w:val="0"/>
                                              <w:marBottom w:val="0"/>
                                              <w:divBdr>
                                                <w:top w:val="none" w:sz="0" w:space="0" w:color="auto"/>
                                                <w:left w:val="none" w:sz="0" w:space="0" w:color="auto"/>
                                                <w:bottom w:val="none" w:sz="0" w:space="0" w:color="auto"/>
                                                <w:right w:val="none" w:sz="0" w:space="0" w:color="auto"/>
                                              </w:divBdr>
                                              <w:divsChild>
                                                <w:div w:id="48505239">
                                                  <w:marLeft w:val="0"/>
                                                  <w:marRight w:val="0"/>
                                                  <w:marTop w:val="0"/>
                                                  <w:marBottom w:val="0"/>
                                                  <w:divBdr>
                                                    <w:top w:val="none" w:sz="0" w:space="0" w:color="auto"/>
                                                    <w:left w:val="none" w:sz="0" w:space="0" w:color="auto"/>
                                                    <w:bottom w:val="none" w:sz="0" w:space="0" w:color="auto"/>
                                                    <w:right w:val="none" w:sz="0" w:space="0" w:color="auto"/>
                                                  </w:divBdr>
                                                  <w:divsChild>
                                                    <w:div w:id="185217918">
                                                      <w:marLeft w:val="0"/>
                                                      <w:marRight w:val="0"/>
                                                      <w:marTop w:val="0"/>
                                                      <w:marBottom w:val="0"/>
                                                      <w:divBdr>
                                                        <w:top w:val="none" w:sz="0" w:space="0" w:color="auto"/>
                                                        <w:left w:val="none" w:sz="0" w:space="0" w:color="auto"/>
                                                        <w:bottom w:val="none" w:sz="0" w:space="0" w:color="auto"/>
                                                        <w:right w:val="none" w:sz="0" w:space="0" w:color="auto"/>
                                                      </w:divBdr>
                                                      <w:divsChild>
                                                        <w:div w:id="1222131133">
                                                          <w:marLeft w:val="0"/>
                                                          <w:marRight w:val="0"/>
                                                          <w:marTop w:val="0"/>
                                                          <w:marBottom w:val="0"/>
                                                          <w:divBdr>
                                                            <w:top w:val="none" w:sz="0" w:space="0" w:color="auto"/>
                                                            <w:left w:val="none" w:sz="0" w:space="0" w:color="auto"/>
                                                            <w:bottom w:val="none" w:sz="0" w:space="0" w:color="auto"/>
                                                            <w:right w:val="none" w:sz="0" w:space="0" w:color="auto"/>
                                                          </w:divBdr>
                                                          <w:divsChild>
                                                            <w:div w:id="2098748741">
                                                              <w:marLeft w:val="0"/>
                                                              <w:marRight w:val="0"/>
                                                              <w:marTop w:val="0"/>
                                                              <w:marBottom w:val="0"/>
                                                              <w:divBdr>
                                                                <w:top w:val="none" w:sz="0" w:space="0" w:color="auto"/>
                                                                <w:left w:val="none" w:sz="0" w:space="0" w:color="auto"/>
                                                                <w:bottom w:val="none" w:sz="0" w:space="0" w:color="auto"/>
                                                                <w:right w:val="none" w:sz="0" w:space="0" w:color="auto"/>
                                                              </w:divBdr>
                                                              <w:divsChild>
                                                                <w:div w:id="1947688456">
                                                                  <w:marLeft w:val="0"/>
                                                                  <w:marRight w:val="0"/>
                                                                  <w:marTop w:val="0"/>
                                                                  <w:marBottom w:val="0"/>
                                                                  <w:divBdr>
                                                                    <w:top w:val="none" w:sz="0" w:space="0" w:color="auto"/>
                                                                    <w:left w:val="none" w:sz="0" w:space="0" w:color="auto"/>
                                                                    <w:bottom w:val="none" w:sz="0" w:space="0" w:color="auto"/>
                                                                    <w:right w:val="none" w:sz="0" w:space="0" w:color="auto"/>
                                                                  </w:divBdr>
                                                                  <w:divsChild>
                                                                    <w:div w:id="1527283020">
                                                                      <w:marLeft w:val="0"/>
                                                                      <w:marRight w:val="0"/>
                                                                      <w:marTop w:val="0"/>
                                                                      <w:marBottom w:val="0"/>
                                                                      <w:divBdr>
                                                                        <w:top w:val="none" w:sz="0" w:space="0" w:color="auto"/>
                                                                        <w:left w:val="none" w:sz="0" w:space="0" w:color="auto"/>
                                                                        <w:bottom w:val="none" w:sz="0" w:space="0" w:color="auto"/>
                                                                        <w:right w:val="none" w:sz="0" w:space="0" w:color="auto"/>
                                                                      </w:divBdr>
                                                                      <w:divsChild>
                                                                        <w:div w:id="1777363381">
                                                                          <w:marLeft w:val="0"/>
                                                                          <w:marRight w:val="0"/>
                                                                          <w:marTop w:val="0"/>
                                                                          <w:marBottom w:val="0"/>
                                                                          <w:divBdr>
                                                                            <w:top w:val="none" w:sz="0" w:space="0" w:color="auto"/>
                                                                            <w:left w:val="none" w:sz="0" w:space="0" w:color="auto"/>
                                                                            <w:bottom w:val="none" w:sz="0" w:space="0" w:color="auto"/>
                                                                            <w:right w:val="none" w:sz="0" w:space="0" w:color="auto"/>
                                                                          </w:divBdr>
                                                                          <w:divsChild>
                                                                            <w:div w:id="335159021">
                                                                              <w:marLeft w:val="0"/>
                                                                              <w:marRight w:val="0"/>
                                                                              <w:marTop w:val="0"/>
                                                                              <w:marBottom w:val="0"/>
                                                                              <w:divBdr>
                                                                                <w:top w:val="none" w:sz="0" w:space="0" w:color="auto"/>
                                                                                <w:left w:val="none" w:sz="0" w:space="0" w:color="auto"/>
                                                                                <w:bottom w:val="none" w:sz="0" w:space="0" w:color="auto"/>
                                                                                <w:right w:val="none" w:sz="0" w:space="0" w:color="auto"/>
                                                                              </w:divBdr>
                                                                              <w:divsChild>
                                                                                <w:div w:id="625088501">
                                                                                  <w:marLeft w:val="0"/>
                                                                                  <w:marRight w:val="0"/>
                                                                                  <w:marTop w:val="0"/>
                                                                                  <w:marBottom w:val="0"/>
                                                                                  <w:divBdr>
                                                                                    <w:top w:val="none" w:sz="0" w:space="0" w:color="auto"/>
                                                                                    <w:left w:val="none" w:sz="0" w:space="0" w:color="auto"/>
                                                                                    <w:bottom w:val="none" w:sz="0" w:space="0" w:color="auto"/>
                                                                                    <w:right w:val="none" w:sz="0" w:space="0" w:color="auto"/>
                                                                                  </w:divBdr>
                                                                                  <w:divsChild>
                                                                                    <w:div w:id="2088454967">
                                                                                      <w:marLeft w:val="0"/>
                                                                                      <w:marRight w:val="0"/>
                                                                                      <w:marTop w:val="0"/>
                                                                                      <w:marBottom w:val="0"/>
                                                                                      <w:divBdr>
                                                                                        <w:top w:val="none" w:sz="0" w:space="0" w:color="auto"/>
                                                                                        <w:left w:val="none" w:sz="0" w:space="0" w:color="auto"/>
                                                                                        <w:bottom w:val="none" w:sz="0" w:space="0" w:color="auto"/>
                                                                                        <w:right w:val="none" w:sz="0" w:space="0" w:color="auto"/>
                                                                                      </w:divBdr>
                                                                                      <w:divsChild>
                                                                                        <w:div w:id="1463042369">
                                                                                          <w:marLeft w:val="0"/>
                                                                                          <w:marRight w:val="0"/>
                                                                                          <w:marTop w:val="0"/>
                                                                                          <w:marBottom w:val="0"/>
                                                                                          <w:divBdr>
                                                                                            <w:top w:val="none" w:sz="0" w:space="0" w:color="auto"/>
                                                                                            <w:left w:val="none" w:sz="0" w:space="0" w:color="auto"/>
                                                                                            <w:bottom w:val="none" w:sz="0" w:space="0" w:color="auto"/>
                                                                                            <w:right w:val="none" w:sz="0" w:space="0" w:color="auto"/>
                                                                                          </w:divBdr>
                                                                                          <w:divsChild>
                                                                                            <w:div w:id="278880772">
                                                                                              <w:marLeft w:val="0"/>
                                                                                              <w:marRight w:val="0"/>
                                                                                              <w:marTop w:val="0"/>
                                                                                              <w:marBottom w:val="0"/>
                                                                                              <w:divBdr>
                                                                                                <w:top w:val="none" w:sz="0" w:space="0" w:color="auto"/>
                                                                                                <w:left w:val="none" w:sz="0" w:space="0" w:color="auto"/>
                                                                                                <w:bottom w:val="none" w:sz="0" w:space="0" w:color="auto"/>
                                                                                                <w:right w:val="none" w:sz="0" w:space="0" w:color="auto"/>
                                                                                              </w:divBdr>
                                                                                              <w:divsChild>
                                                                                                <w:div w:id="352926965">
                                                                                                  <w:marLeft w:val="0"/>
                                                                                                  <w:marRight w:val="0"/>
                                                                                                  <w:marTop w:val="0"/>
                                                                                                  <w:marBottom w:val="0"/>
                                                                                                  <w:divBdr>
                                                                                                    <w:top w:val="none" w:sz="0" w:space="0" w:color="auto"/>
                                                                                                    <w:left w:val="none" w:sz="0" w:space="0" w:color="auto"/>
                                                                                                    <w:bottom w:val="none" w:sz="0" w:space="0" w:color="auto"/>
                                                                                                    <w:right w:val="none" w:sz="0" w:space="0" w:color="auto"/>
                                                                                                  </w:divBdr>
                                                                                                  <w:divsChild>
                                                                                                    <w:div w:id="1492255815">
                                                                                                      <w:marLeft w:val="0"/>
                                                                                                      <w:marRight w:val="0"/>
                                                                                                      <w:marTop w:val="0"/>
                                                                                                      <w:marBottom w:val="0"/>
                                                                                                      <w:divBdr>
                                                                                                        <w:top w:val="none" w:sz="0" w:space="0" w:color="auto"/>
                                                                                                        <w:left w:val="none" w:sz="0" w:space="0" w:color="auto"/>
                                                                                                        <w:bottom w:val="none" w:sz="0" w:space="0" w:color="auto"/>
                                                                                                        <w:right w:val="none" w:sz="0" w:space="0" w:color="auto"/>
                                                                                                      </w:divBdr>
                                                                                                      <w:divsChild>
                                                                                                        <w:div w:id="1717700574">
                                                                                                          <w:marLeft w:val="0"/>
                                                                                                          <w:marRight w:val="0"/>
                                                                                                          <w:marTop w:val="0"/>
                                                                                                          <w:marBottom w:val="0"/>
                                                                                                          <w:divBdr>
                                                                                                            <w:top w:val="none" w:sz="0" w:space="0" w:color="auto"/>
                                                                                                            <w:left w:val="none" w:sz="0" w:space="0" w:color="auto"/>
                                                                                                            <w:bottom w:val="none" w:sz="0" w:space="0" w:color="auto"/>
                                                                                                            <w:right w:val="none" w:sz="0" w:space="0" w:color="auto"/>
                                                                                                          </w:divBdr>
                                                                                                          <w:divsChild>
                                                                                                            <w:div w:id="2024477813">
                                                                                                              <w:marLeft w:val="0"/>
                                                                                                              <w:marRight w:val="0"/>
                                                                                                              <w:marTop w:val="0"/>
                                                                                                              <w:marBottom w:val="0"/>
                                                                                                              <w:divBdr>
                                                                                                                <w:top w:val="none" w:sz="0" w:space="0" w:color="auto"/>
                                                                                                                <w:left w:val="none" w:sz="0" w:space="0" w:color="auto"/>
                                                                                                                <w:bottom w:val="none" w:sz="0" w:space="0" w:color="auto"/>
                                                                                                                <w:right w:val="none" w:sz="0" w:space="0" w:color="auto"/>
                                                                                                              </w:divBdr>
                                                                                                              <w:divsChild>
                                                                                                                <w:div w:id="1612518201">
                                                                                                                  <w:marLeft w:val="0"/>
                                                                                                                  <w:marRight w:val="0"/>
                                                                                                                  <w:marTop w:val="0"/>
                                                                                                                  <w:marBottom w:val="0"/>
                                                                                                                  <w:divBdr>
                                                                                                                    <w:top w:val="none" w:sz="0" w:space="0" w:color="auto"/>
                                                                                                                    <w:left w:val="none" w:sz="0" w:space="0" w:color="auto"/>
                                                                                                                    <w:bottom w:val="none" w:sz="0" w:space="0" w:color="auto"/>
                                                                                                                    <w:right w:val="none" w:sz="0" w:space="0" w:color="auto"/>
                                                                                                                  </w:divBdr>
                                                                                                                  <w:divsChild>
                                                                                                                    <w:div w:id="1887833241">
                                                                                                                      <w:marLeft w:val="0"/>
                                                                                                                      <w:marRight w:val="0"/>
                                                                                                                      <w:marTop w:val="0"/>
                                                                                                                      <w:marBottom w:val="0"/>
                                                                                                                      <w:divBdr>
                                                                                                                        <w:top w:val="none" w:sz="0" w:space="0" w:color="auto"/>
                                                                                                                        <w:left w:val="none" w:sz="0" w:space="0" w:color="auto"/>
                                                                                                                        <w:bottom w:val="none" w:sz="0" w:space="0" w:color="auto"/>
                                                                                                                        <w:right w:val="none" w:sz="0" w:space="0" w:color="auto"/>
                                                                                                                      </w:divBdr>
                                                                                                                      <w:divsChild>
                                                                                                                        <w:div w:id="2122256888">
                                                                                                                          <w:marLeft w:val="0"/>
                                                                                                                          <w:marRight w:val="0"/>
                                                                                                                          <w:marTop w:val="0"/>
                                                                                                                          <w:marBottom w:val="0"/>
                                                                                                                          <w:divBdr>
                                                                                                                            <w:top w:val="none" w:sz="0" w:space="0" w:color="auto"/>
                                                                                                                            <w:left w:val="none" w:sz="0" w:space="0" w:color="auto"/>
                                                                                                                            <w:bottom w:val="none" w:sz="0" w:space="0" w:color="auto"/>
                                                                                                                            <w:right w:val="none" w:sz="0" w:space="0" w:color="auto"/>
                                                                                                                          </w:divBdr>
                                                                                                                          <w:divsChild>
                                                                                                                            <w:div w:id="2058628986">
                                                                                                                              <w:marLeft w:val="0"/>
                                                                                                                              <w:marRight w:val="0"/>
                                                                                                                              <w:marTop w:val="0"/>
                                                                                                                              <w:marBottom w:val="0"/>
                                                                                                                              <w:divBdr>
                                                                                                                                <w:top w:val="none" w:sz="0" w:space="0" w:color="auto"/>
                                                                                                                                <w:left w:val="none" w:sz="0" w:space="0" w:color="auto"/>
                                                                                                                                <w:bottom w:val="none" w:sz="0" w:space="0" w:color="auto"/>
                                                                                                                                <w:right w:val="none" w:sz="0" w:space="0" w:color="auto"/>
                                                                                                                              </w:divBdr>
                                                                                                                              <w:divsChild>
                                                                                                                                <w:div w:id="514419846">
                                                                                                                                  <w:marLeft w:val="0"/>
                                                                                                                                  <w:marRight w:val="0"/>
                                                                                                                                  <w:marTop w:val="0"/>
                                                                                                                                  <w:marBottom w:val="0"/>
                                                                                                                                  <w:divBdr>
                                                                                                                                    <w:top w:val="none" w:sz="0" w:space="0" w:color="auto"/>
                                                                                                                                    <w:left w:val="none" w:sz="0" w:space="0" w:color="auto"/>
                                                                                                                                    <w:bottom w:val="none" w:sz="0" w:space="0" w:color="auto"/>
                                                                                                                                    <w:right w:val="none" w:sz="0" w:space="0" w:color="auto"/>
                                                                                                                                  </w:divBdr>
                                                                                                                                  <w:divsChild>
                                                                                                                                    <w:div w:id="786395238">
                                                                                                                                      <w:marLeft w:val="0"/>
                                                                                                                                      <w:marRight w:val="0"/>
                                                                                                                                      <w:marTop w:val="0"/>
                                                                                                                                      <w:marBottom w:val="0"/>
                                                                                                                                      <w:divBdr>
                                                                                                                                        <w:top w:val="none" w:sz="0" w:space="0" w:color="auto"/>
                                                                                                                                        <w:left w:val="none" w:sz="0" w:space="0" w:color="auto"/>
                                                                                                                                        <w:bottom w:val="none" w:sz="0" w:space="0" w:color="auto"/>
                                                                                                                                        <w:right w:val="none" w:sz="0" w:space="0" w:color="auto"/>
                                                                                                                                      </w:divBdr>
                                                                                                                                      <w:divsChild>
                                                                                                                                        <w:div w:id="1088306955">
                                                                                                                                          <w:marLeft w:val="0"/>
                                                                                                                                          <w:marRight w:val="0"/>
                                                                                                                                          <w:marTop w:val="0"/>
                                                                                                                                          <w:marBottom w:val="0"/>
                                                                                                                                          <w:divBdr>
                                                                                                                                            <w:top w:val="none" w:sz="0" w:space="0" w:color="auto"/>
                                                                                                                                            <w:left w:val="none" w:sz="0" w:space="0" w:color="auto"/>
                                                                                                                                            <w:bottom w:val="none" w:sz="0" w:space="0" w:color="auto"/>
                                                                                                                                            <w:right w:val="none" w:sz="0" w:space="0" w:color="auto"/>
                                                                                                                                          </w:divBdr>
                                                                                                                                          <w:divsChild>
                                                                                                                                            <w:div w:id="700515767">
                                                                                                                                              <w:marLeft w:val="0"/>
                                                                                                                                              <w:marRight w:val="0"/>
                                                                                                                                              <w:marTop w:val="0"/>
                                                                                                                                              <w:marBottom w:val="0"/>
                                                                                                                                              <w:divBdr>
                                                                                                                                                <w:top w:val="none" w:sz="0" w:space="0" w:color="auto"/>
                                                                                                                                                <w:left w:val="none" w:sz="0" w:space="0" w:color="auto"/>
                                                                                                                                                <w:bottom w:val="none" w:sz="0" w:space="0" w:color="auto"/>
                                                                                                                                                <w:right w:val="none" w:sz="0" w:space="0" w:color="auto"/>
                                                                                                                                              </w:divBdr>
                                                                                                                                              <w:divsChild>
                                                                                                                                                <w:div w:id="1677345454">
                                                                                                                                                  <w:marLeft w:val="0"/>
                                                                                                                                                  <w:marRight w:val="0"/>
                                                                                                                                                  <w:marTop w:val="0"/>
                                                                                                                                                  <w:marBottom w:val="0"/>
                                                                                                                                                  <w:divBdr>
                                                                                                                                                    <w:top w:val="none" w:sz="0" w:space="0" w:color="auto"/>
                                                                                                                                                    <w:left w:val="none" w:sz="0" w:space="0" w:color="auto"/>
                                                                                                                                                    <w:bottom w:val="none" w:sz="0" w:space="0" w:color="auto"/>
                                                                                                                                                    <w:right w:val="none" w:sz="0" w:space="0" w:color="auto"/>
                                                                                                                                                  </w:divBdr>
                                                                                                                                                  <w:divsChild>
                                                                                                                                                    <w:div w:id="2144541991">
                                                                                                                                                      <w:marLeft w:val="0"/>
                                                                                                                                                      <w:marRight w:val="0"/>
                                                                                                                                                      <w:marTop w:val="0"/>
                                                                                                                                                      <w:marBottom w:val="0"/>
                                                                                                                                                      <w:divBdr>
                                                                                                                                                        <w:top w:val="none" w:sz="0" w:space="0" w:color="auto"/>
                                                                                                                                                        <w:left w:val="none" w:sz="0" w:space="0" w:color="auto"/>
                                                                                                                                                        <w:bottom w:val="none" w:sz="0" w:space="0" w:color="auto"/>
                                                                                                                                                        <w:right w:val="none" w:sz="0" w:space="0" w:color="auto"/>
                                                                                                                                                      </w:divBdr>
                                                                                                                                                      <w:divsChild>
                                                                                                                                                        <w:div w:id="846795851">
                                                                                                                                                          <w:marLeft w:val="0"/>
                                                                                                                                                          <w:marRight w:val="0"/>
                                                                                                                                                          <w:marTop w:val="0"/>
                                                                                                                                                          <w:marBottom w:val="0"/>
                                                                                                                                                          <w:divBdr>
                                                                                                                                                            <w:top w:val="none" w:sz="0" w:space="0" w:color="auto"/>
                                                                                                                                                            <w:left w:val="none" w:sz="0" w:space="0" w:color="auto"/>
                                                                                                                                                            <w:bottom w:val="none" w:sz="0" w:space="0" w:color="auto"/>
                                                                                                                                                            <w:right w:val="none" w:sz="0" w:space="0" w:color="auto"/>
                                                                                                                                                          </w:divBdr>
                                                                                                                                                          <w:divsChild>
                                                                                                                                                            <w:div w:id="219481944">
                                                                                                                                                              <w:marLeft w:val="0"/>
                                                                                                                                                              <w:marRight w:val="0"/>
                                                                                                                                                              <w:marTop w:val="0"/>
                                                                                                                                                              <w:marBottom w:val="0"/>
                                                                                                                                                              <w:divBdr>
                                                                                                                                                                <w:top w:val="none" w:sz="0" w:space="0" w:color="auto"/>
                                                                                                                                                                <w:left w:val="none" w:sz="0" w:space="0" w:color="auto"/>
                                                                                                                                                                <w:bottom w:val="none" w:sz="0" w:space="0" w:color="auto"/>
                                                                                                                                                                <w:right w:val="none" w:sz="0" w:space="0" w:color="auto"/>
                                                                                                                                                              </w:divBdr>
                                                                                                                                                              <w:divsChild>
                                                                                                                                                                <w:div w:id="1290668250">
                                                                                                                                                                  <w:marLeft w:val="0"/>
                                                                                                                                                                  <w:marRight w:val="0"/>
                                                                                                                                                                  <w:marTop w:val="0"/>
                                                                                                                                                                  <w:marBottom w:val="0"/>
                                                                                                                                                                  <w:divBdr>
                                                                                                                                                                    <w:top w:val="none" w:sz="0" w:space="0" w:color="auto"/>
                                                                                                                                                                    <w:left w:val="none" w:sz="0" w:space="0" w:color="auto"/>
                                                                                                                                                                    <w:bottom w:val="none" w:sz="0" w:space="0" w:color="auto"/>
                                                                                                                                                                    <w:right w:val="none" w:sz="0" w:space="0" w:color="auto"/>
                                                                                                                                                                  </w:divBdr>
                                                                                                                                                                  <w:divsChild>
                                                                                                                                                                    <w:div w:id="1011221883">
                                                                                                                                                                      <w:marLeft w:val="0"/>
                                                                                                                                                                      <w:marRight w:val="0"/>
                                                                                                                                                                      <w:marTop w:val="0"/>
                                                                                                                                                                      <w:marBottom w:val="0"/>
                                                                                                                                                                      <w:divBdr>
                                                                                                                                                                        <w:top w:val="none" w:sz="0" w:space="0" w:color="auto"/>
                                                                                                                                                                        <w:left w:val="none" w:sz="0" w:space="0" w:color="auto"/>
                                                                                                                                                                        <w:bottom w:val="none" w:sz="0" w:space="0" w:color="auto"/>
                                                                                                                                                                        <w:right w:val="none" w:sz="0" w:space="0" w:color="auto"/>
                                                                                                                                                                      </w:divBdr>
                                                                                                                                                                      <w:divsChild>
                                                                                                                                                                        <w:div w:id="1334066712">
                                                                                                                                                                          <w:marLeft w:val="0"/>
                                                                                                                                                                          <w:marRight w:val="0"/>
                                                                                                                                                                          <w:marTop w:val="0"/>
                                                                                                                                                                          <w:marBottom w:val="0"/>
                                                                                                                                                                          <w:divBdr>
                                                                                                                                                                            <w:top w:val="none" w:sz="0" w:space="0" w:color="auto"/>
                                                                                                                                                                            <w:left w:val="none" w:sz="0" w:space="0" w:color="auto"/>
                                                                                                                                                                            <w:bottom w:val="none" w:sz="0" w:space="0" w:color="auto"/>
                                                                                                                                                                            <w:right w:val="none" w:sz="0" w:space="0" w:color="auto"/>
                                                                                                                                                                          </w:divBdr>
                                                                                                                                                                          <w:divsChild>
                                                                                                                                                                            <w:div w:id="722758038">
                                                                                                                                                                              <w:marLeft w:val="0"/>
                                                                                                                                                                              <w:marRight w:val="0"/>
                                                                                                                                                                              <w:marTop w:val="0"/>
                                                                                                                                                                              <w:marBottom w:val="0"/>
                                                                                                                                                                              <w:divBdr>
                                                                                                                                                                                <w:top w:val="none" w:sz="0" w:space="0" w:color="auto"/>
                                                                                                                                                                                <w:left w:val="none" w:sz="0" w:space="0" w:color="auto"/>
                                                                                                                                                                                <w:bottom w:val="none" w:sz="0" w:space="0" w:color="auto"/>
                                                                                                                                                                                <w:right w:val="none" w:sz="0" w:space="0" w:color="auto"/>
                                                                                                                                                                              </w:divBdr>
                                                                                                                                                                              <w:divsChild>
                                                                                                                                                                                <w:div w:id="441921407">
                                                                                                                                                                                  <w:marLeft w:val="0"/>
                                                                                                                                                                                  <w:marRight w:val="0"/>
                                                                                                                                                                                  <w:marTop w:val="0"/>
                                                                                                                                                                                  <w:marBottom w:val="0"/>
                                                                                                                                                                                  <w:divBdr>
                                                                                                                                                                                    <w:top w:val="none" w:sz="0" w:space="0" w:color="auto"/>
                                                                                                                                                                                    <w:left w:val="none" w:sz="0" w:space="0" w:color="auto"/>
                                                                                                                                                                                    <w:bottom w:val="none" w:sz="0" w:space="0" w:color="auto"/>
                                                                                                                                                                                    <w:right w:val="none" w:sz="0" w:space="0" w:color="auto"/>
                                                                                                                                                                                  </w:divBdr>
                                                                                                                                                                                  <w:divsChild>
                                                                                                                                                                                    <w:div w:id="429131737">
                                                                                                                                                                                      <w:marLeft w:val="0"/>
                                                                                                                                                                                      <w:marRight w:val="0"/>
                                                                                                                                                                                      <w:marTop w:val="0"/>
                                                                                                                                                                                      <w:marBottom w:val="0"/>
                                                                                                                                                                                      <w:divBdr>
                                                                                                                                                                                        <w:top w:val="none" w:sz="0" w:space="0" w:color="auto"/>
                                                                                                                                                                                        <w:left w:val="none" w:sz="0" w:space="0" w:color="auto"/>
                                                                                                                                                                                        <w:bottom w:val="none" w:sz="0" w:space="0" w:color="auto"/>
                                                                                                                                                                                        <w:right w:val="none" w:sz="0" w:space="0" w:color="auto"/>
                                                                                                                                                                                      </w:divBdr>
                                                                                                                                                                                      <w:divsChild>
                                                                                                                                                                                        <w:div w:id="1573616596">
                                                                                                                                                                                          <w:marLeft w:val="0"/>
                                                                                                                                                                                          <w:marRight w:val="0"/>
                                                                                                                                                                                          <w:marTop w:val="0"/>
                                                                                                                                                                                          <w:marBottom w:val="0"/>
                                                                                                                                                                                          <w:divBdr>
                                                                                                                                                                                            <w:top w:val="none" w:sz="0" w:space="0" w:color="auto"/>
                                                                                                                                                                                            <w:left w:val="none" w:sz="0" w:space="0" w:color="auto"/>
                                                                                                                                                                                            <w:bottom w:val="none" w:sz="0" w:space="0" w:color="auto"/>
                                                                                                                                                                                            <w:right w:val="none" w:sz="0" w:space="0" w:color="auto"/>
                                                                                                                                                                                          </w:divBdr>
                                                                                                                                                                                          <w:divsChild>
                                                                                                                                                                                            <w:div w:id="1826317485">
                                                                                                                                                                                              <w:marLeft w:val="0"/>
                                                                                                                                                                                              <w:marRight w:val="0"/>
                                                                                                                                                                                              <w:marTop w:val="0"/>
                                                                                                                                                                                              <w:marBottom w:val="0"/>
                                                                                                                                                                                              <w:divBdr>
                                                                                                                                                                                                <w:top w:val="none" w:sz="0" w:space="0" w:color="auto"/>
                                                                                                                                                                                                <w:left w:val="none" w:sz="0" w:space="0" w:color="auto"/>
                                                                                                                                                                                                <w:bottom w:val="none" w:sz="0" w:space="0" w:color="auto"/>
                                                                                                                                                                                                <w:right w:val="none" w:sz="0" w:space="0" w:color="auto"/>
                                                                                                                                                                                              </w:divBdr>
                                                                                                                                                                                              <w:divsChild>
                                                                                                                                                                                                <w:div w:id="1876850949">
                                                                                                                                                                                                  <w:marLeft w:val="0"/>
                                                                                                                                                                                                  <w:marRight w:val="0"/>
                                                                                                                                                                                                  <w:marTop w:val="0"/>
                                                                                                                                                                                                  <w:marBottom w:val="0"/>
                                                                                                                                                                                                  <w:divBdr>
                                                                                                                                                                                                    <w:top w:val="none" w:sz="0" w:space="0" w:color="auto"/>
                                                                                                                                                                                                    <w:left w:val="none" w:sz="0" w:space="0" w:color="auto"/>
                                                                                                                                                                                                    <w:bottom w:val="none" w:sz="0" w:space="0" w:color="auto"/>
                                                                                                                                                                                                    <w:right w:val="none" w:sz="0" w:space="0" w:color="auto"/>
                                                                                                                                                                                                  </w:divBdr>
                                                                                                                                                                                                  <w:divsChild>
                                                                                                                                                                                                    <w:div w:id="1451894923">
                                                                                                                                                                                                      <w:marLeft w:val="0"/>
                                                                                                                                                                                                      <w:marRight w:val="0"/>
                                                                                                                                                                                                      <w:marTop w:val="0"/>
                                                                                                                                                                                                      <w:marBottom w:val="0"/>
                                                                                                                                                                                                      <w:divBdr>
                                                                                                                                                                                                        <w:top w:val="none" w:sz="0" w:space="0" w:color="auto"/>
                                                                                                                                                                                                        <w:left w:val="none" w:sz="0" w:space="0" w:color="auto"/>
                                                                                                                                                                                                        <w:bottom w:val="none" w:sz="0" w:space="0" w:color="auto"/>
                                                                                                                                                                                                        <w:right w:val="none" w:sz="0" w:space="0" w:color="auto"/>
                                                                                                                                                                                                      </w:divBdr>
                                                                                                                                                                                                      <w:divsChild>
                                                                                                                                                                                                        <w:div w:id="1836262051">
                                                                                                                                                                                                          <w:marLeft w:val="0"/>
                                                                                                                                                                                                          <w:marRight w:val="0"/>
                                                                                                                                                                                                          <w:marTop w:val="0"/>
                                                                                                                                                                                                          <w:marBottom w:val="0"/>
                                                                                                                                                                                                          <w:divBdr>
                                                                                                                                                                                                            <w:top w:val="none" w:sz="0" w:space="0" w:color="auto"/>
                                                                                                                                                                                                            <w:left w:val="none" w:sz="0" w:space="0" w:color="auto"/>
                                                                                                                                                                                                            <w:bottom w:val="none" w:sz="0" w:space="0" w:color="auto"/>
                                                                                                                                                                                                            <w:right w:val="none" w:sz="0" w:space="0" w:color="auto"/>
                                                                                                                                                                                                          </w:divBdr>
                                                                                                                                                                                                          <w:divsChild>
                                                                                                                                                                                                            <w:div w:id="1947301626">
                                                                                                                                                                                                              <w:marLeft w:val="0"/>
                                                                                                                                                                                                              <w:marRight w:val="0"/>
                                                                                                                                                                                                              <w:marTop w:val="0"/>
                                                                                                                                                                                                              <w:marBottom w:val="0"/>
                                                                                                                                                                                                              <w:divBdr>
                                                                                                                                                                                                                <w:top w:val="none" w:sz="0" w:space="0" w:color="auto"/>
                                                                                                                                                                                                                <w:left w:val="none" w:sz="0" w:space="0" w:color="auto"/>
                                                                                                                                                                                                                <w:bottom w:val="none" w:sz="0" w:space="0" w:color="auto"/>
                                                                                                                                                                                                                <w:right w:val="none" w:sz="0" w:space="0" w:color="auto"/>
                                                                                                                                                                                                              </w:divBdr>
                                                                                                                                                                                                              <w:divsChild>
                                                                                                                                                                                                                <w:div w:id="692148206">
                                                                                                                                                                                                                  <w:marLeft w:val="0"/>
                                                                                                                                                                                                                  <w:marRight w:val="0"/>
                                                                                                                                                                                                                  <w:marTop w:val="0"/>
                                                                                                                                                                                                                  <w:marBottom w:val="0"/>
                                                                                                                                                                                                                  <w:divBdr>
                                                                                                                                                                                                                    <w:top w:val="none" w:sz="0" w:space="0" w:color="auto"/>
                                                                                                                                                                                                                    <w:left w:val="none" w:sz="0" w:space="0" w:color="auto"/>
                                                                                                                                                                                                                    <w:bottom w:val="none" w:sz="0" w:space="0" w:color="auto"/>
                                                                                                                                                                                                                    <w:right w:val="none" w:sz="0" w:space="0" w:color="auto"/>
                                                                                                                                                                                                                  </w:divBdr>
                                                                                                                                                                                                                  <w:divsChild>
                                                                                                                                                                                                                    <w:div w:id="757095972">
                                                                                                                                                                                                                      <w:marLeft w:val="0"/>
                                                                                                                                                                                                                      <w:marRight w:val="0"/>
                                                                                                                                                                                                                      <w:marTop w:val="0"/>
                                                                                                                                                                                                                      <w:marBottom w:val="0"/>
                                                                                                                                                                                                                      <w:divBdr>
                                                                                                                                                                                                                        <w:top w:val="none" w:sz="0" w:space="0" w:color="auto"/>
                                                                                                                                                                                                                        <w:left w:val="none" w:sz="0" w:space="0" w:color="auto"/>
                                                                                                                                                                                                                        <w:bottom w:val="none" w:sz="0" w:space="0" w:color="auto"/>
                                                                                                                                                                                                                        <w:right w:val="none" w:sz="0" w:space="0" w:color="auto"/>
                                                                                                                                                                                                                      </w:divBdr>
                                                                                                                                                                                                                      <w:divsChild>
                                                                                                                                                                                                                        <w:div w:id="714697633">
                                                                                                                                                                                                                          <w:marLeft w:val="0"/>
                                                                                                                                                                                                                          <w:marRight w:val="0"/>
                                                                                                                                                                                                                          <w:marTop w:val="0"/>
                                                                                                                                                                                                                          <w:marBottom w:val="0"/>
                                                                                                                                                                                                                          <w:divBdr>
                                                                                                                                                                                                                            <w:top w:val="none" w:sz="0" w:space="0" w:color="auto"/>
                                                                                                                                                                                                                            <w:left w:val="none" w:sz="0" w:space="0" w:color="auto"/>
                                                                                                                                                                                                                            <w:bottom w:val="none" w:sz="0" w:space="0" w:color="auto"/>
                                                                                                                                                                                                                            <w:right w:val="none" w:sz="0" w:space="0" w:color="auto"/>
                                                                                                                                                                                                                          </w:divBdr>
                                                                                                                                                                                                                          <w:divsChild>
                                                                                                                                                                                                                            <w:div w:id="1239246686">
                                                                                                                                                                                                                              <w:marLeft w:val="0"/>
                                                                                                                                                                                                                              <w:marRight w:val="0"/>
                                                                                                                                                                                                                              <w:marTop w:val="0"/>
                                                                                                                                                                                                                              <w:marBottom w:val="0"/>
                                                                                                                                                                                                                              <w:divBdr>
                                                                                                                                                                                                                                <w:top w:val="none" w:sz="0" w:space="0" w:color="auto"/>
                                                                                                                                                                                                                                <w:left w:val="none" w:sz="0" w:space="0" w:color="auto"/>
                                                                                                                                                                                                                                <w:bottom w:val="none" w:sz="0" w:space="0" w:color="auto"/>
                                                                                                                                                                                                                                <w:right w:val="none" w:sz="0" w:space="0" w:color="auto"/>
                                                                                                                                                                                                                              </w:divBdr>
                                                                                                                                                                                                                              <w:divsChild>
                                                                                                                                                                                                                                <w:div w:id="2022078471">
                                                                                                                                                                                                                                  <w:marLeft w:val="0"/>
                                                                                                                                                                                                                                  <w:marRight w:val="0"/>
                                                                                                                                                                                                                                  <w:marTop w:val="0"/>
                                                                                                                                                                                                                                  <w:marBottom w:val="0"/>
                                                                                                                                                                                                                                  <w:divBdr>
                                                                                                                                                                                                                                    <w:top w:val="none" w:sz="0" w:space="0" w:color="auto"/>
                                                                                                                                                                                                                                    <w:left w:val="none" w:sz="0" w:space="0" w:color="auto"/>
                                                                                                                                                                                                                                    <w:bottom w:val="none" w:sz="0" w:space="0" w:color="auto"/>
                                                                                                                                                                                                                                    <w:right w:val="none" w:sz="0" w:space="0" w:color="auto"/>
                                                                                                                                                                                                                                  </w:divBdr>
                                                                                                                                                                                                                                  <w:divsChild>
                                                                                                                                                                                                                                    <w:div w:id="1996645039">
                                                                                                                                                                                                                                      <w:marLeft w:val="0"/>
                                                                                                                                                                                                                                      <w:marRight w:val="0"/>
                                                                                                                                                                                                                                      <w:marTop w:val="0"/>
                                                                                                                                                                                                                                      <w:marBottom w:val="0"/>
                                                                                                                                                                                                                                      <w:divBdr>
                                                                                                                                                                                                                                        <w:top w:val="none" w:sz="0" w:space="0" w:color="auto"/>
                                                                                                                                                                                                                                        <w:left w:val="none" w:sz="0" w:space="0" w:color="auto"/>
                                                                                                                                                                                                                                        <w:bottom w:val="none" w:sz="0" w:space="0" w:color="auto"/>
                                                                                                                                                                                                                                        <w:right w:val="none" w:sz="0" w:space="0" w:color="auto"/>
                                                                                                                                                                                                                                      </w:divBdr>
                                                                                                                                                                                                                                      <w:divsChild>
                                                                                                                                                                                                                                        <w:div w:id="156576530">
                                                                                                                                                                                                                                          <w:marLeft w:val="0"/>
                                                                                                                                                                                                                                          <w:marRight w:val="0"/>
                                                                                                                                                                                                                                          <w:marTop w:val="0"/>
                                                                                                                                                                                                                                          <w:marBottom w:val="0"/>
                                                                                                                                                                                                                                          <w:divBdr>
                                                                                                                                                                                                                                            <w:top w:val="none" w:sz="0" w:space="0" w:color="auto"/>
                                                                                                                                                                                                                                            <w:left w:val="none" w:sz="0" w:space="0" w:color="auto"/>
                                                                                                                                                                                                                                            <w:bottom w:val="none" w:sz="0" w:space="0" w:color="auto"/>
                                                                                                                                                                                                                                            <w:right w:val="none" w:sz="0" w:space="0" w:color="auto"/>
                                                                                                                                                                                                                                          </w:divBdr>
                                                                                                                                                                                                                                          <w:divsChild>
                                                                                                                                                                                                                                            <w:div w:id="1910118235">
                                                                                                                                                                                                                                              <w:marLeft w:val="0"/>
                                                                                                                                                                                                                                              <w:marRight w:val="0"/>
                                                                                                                                                                                                                                              <w:marTop w:val="0"/>
                                                                                                                                                                                                                                              <w:marBottom w:val="0"/>
                                                                                                                                                                                                                                              <w:divBdr>
                                                                                                                                                                                                                                                <w:top w:val="none" w:sz="0" w:space="0" w:color="auto"/>
                                                                                                                                                                                                                                                <w:left w:val="none" w:sz="0" w:space="0" w:color="auto"/>
                                                                                                                                                                                                                                                <w:bottom w:val="none" w:sz="0" w:space="0" w:color="auto"/>
                                                                                                                                                                                                                                                <w:right w:val="none" w:sz="0" w:space="0" w:color="auto"/>
                                                                                                                                                                                                                                              </w:divBdr>
                                                                                                                                                                                                                                              <w:divsChild>
                                                                                                                                                                                                                                                <w:div w:id="1324509">
                                                                                                                                                                                                                                                  <w:marLeft w:val="0"/>
                                                                                                                                                                                                                                                  <w:marRight w:val="0"/>
                                                                                                                                                                                                                                                  <w:marTop w:val="0"/>
                                                                                                                                                                                                                                                  <w:marBottom w:val="0"/>
                                                                                                                                                                                                                                                  <w:divBdr>
                                                                                                                                                                                                                                                    <w:top w:val="none" w:sz="0" w:space="0" w:color="auto"/>
                                                                                                                                                                                                                                                    <w:left w:val="none" w:sz="0" w:space="0" w:color="auto"/>
                                                                                                                                                                                                                                                    <w:bottom w:val="none" w:sz="0" w:space="0" w:color="auto"/>
                                                                                                                                                                                                                                                    <w:right w:val="none" w:sz="0" w:space="0" w:color="auto"/>
                                                                                                                                                                                                                                                  </w:divBdr>
                                                                                                                                                                                                                                                  <w:divsChild>
                                                                                                                                                                                                                                                    <w:div w:id="557284908">
                                                                                                                                                                                                                                                      <w:marLeft w:val="0"/>
                                                                                                                                                                                                                                                      <w:marRight w:val="0"/>
                                                                                                                                                                                                                                                      <w:marTop w:val="0"/>
                                                                                                                                                                                                                                                      <w:marBottom w:val="0"/>
                                                                                                                                                                                                                                                      <w:divBdr>
                                                                                                                                                                                                                                                        <w:top w:val="none" w:sz="0" w:space="0" w:color="auto"/>
                                                                                                                                                                                                                                                        <w:left w:val="none" w:sz="0" w:space="0" w:color="auto"/>
                                                                                                                                                                                                                                                        <w:bottom w:val="none" w:sz="0" w:space="0" w:color="auto"/>
                                                                                                                                                                                                                                                        <w:right w:val="none" w:sz="0" w:space="0" w:color="auto"/>
                                                                                                                                                                                                                                                      </w:divBdr>
                                                                                                                                                                                                                                                      <w:divsChild>
                                                                                                                                                                                                                                                        <w:div w:id="46686356">
                                                                                                                                                                                                                                                          <w:marLeft w:val="0"/>
                                                                                                                                                                                                                                                          <w:marRight w:val="0"/>
                                                                                                                                                                                                                                                          <w:marTop w:val="0"/>
                                                                                                                                                                                                                                                          <w:marBottom w:val="0"/>
                                                                                                                                                                                                                                                          <w:divBdr>
                                                                                                                                                                                                                                                            <w:top w:val="none" w:sz="0" w:space="0" w:color="auto"/>
                                                                                                                                                                                                                                                            <w:left w:val="none" w:sz="0" w:space="0" w:color="auto"/>
                                                                                                                                                                                                                                                            <w:bottom w:val="none" w:sz="0" w:space="0" w:color="auto"/>
                                                                                                                                                                                                                                                            <w:right w:val="none" w:sz="0" w:space="0" w:color="auto"/>
                                                                                                                                                                                                                                                          </w:divBdr>
                                                                                                                                                                                                                                                          <w:divsChild>
                                                                                                                                                                                                                                                            <w:div w:id="355156570">
                                                                                                                                                                                                                                                              <w:marLeft w:val="0"/>
                                                                                                                                                                                                                                                              <w:marRight w:val="0"/>
                                                                                                                                                                                                                                                              <w:marTop w:val="0"/>
                                                                                                                                                                                                                                                              <w:marBottom w:val="0"/>
                                                                                                                                                                                                                                                              <w:divBdr>
                                                                                                                                                                                                                                                                <w:top w:val="none" w:sz="0" w:space="0" w:color="auto"/>
                                                                                                                                                                                                                                                                <w:left w:val="none" w:sz="0" w:space="0" w:color="auto"/>
                                                                                                                                                                                                                                                                <w:bottom w:val="none" w:sz="0" w:space="0" w:color="auto"/>
                                                                                                                                                                                                                                                                <w:right w:val="none" w:sz="0" w:space="0" w:color="auto"/>
                                                                                                                                                                                                                                                              </w:divBdr>
                                                                                                                                                                                                                                                              <w:divsChild>
                                                                                                                                                                                                                                                                <w:div w:id="1382288672">
                                                                                                                                                                                                                                                                  <w:marLeft w:val="0"/>
                                                                                                                                                                                                                                                                  <w:marRight w:val="0"/>
                                                                                                                                                                                                                                                                  <w:marTop w:val="0"/>
                                                                                                                                                                                                                                                                  <w:marBottom w:val="0"/>
                                                                                                                                                                                                                                                                  <w:divBdr>
                                                                                                                                                                                                                                                                    <w:top w:val="none" w:sz="0" w:space="0" w:color="auto"/>
                                                                                                                                                                                                                                                                    <w:left w:val="none" w:sz="0" w:space="0" w:color="auto"/>
                                                                                                                                                                                                                                                                    <w:bottom w:val="none" w:sz="0" w:space="0" w:color="auto"/>
                                                                                                                                                                                                                                                                    <w:right w:val="none" w:sz="0" w:space="0" w:color="auto"/>
                                                                                                                                                                                                                                                                  </w:divBdr>
                                                                                                                                                                                                                                                                  <w:divsChild>
                                                                                                                                                                                                                                                                    <w:div w:id="2122843031">
                                                                                                                                                                                                                                                                      <w:marLeft w:val="0"/>
                                                                                                                                                                                                                                                                      <w:marRight w:val="0"/>
                                                                                                                                                                                                                                                                      <w:marTop w:val="0"/>
                                                                                                                                                                                                                                                                      <w:marBottom w:val="0"/>
                                                                                                                                                                                                                                                                      <w:divBdr>
                                                                                                                                                                                                                                                                        <w:top w:val="none" w:sz="0" w:space="0" w:color="auto"/>
                                                                                                                                                                                                                                                                        <w:left w:val="none" w:sz="0" w:space="0" w:color="auto"/>
                                                                                                                                                                                                                                                                        <w:bottom w:val="none" w:sz="0" w:space="0" w:color="auto"/>
                                                                                                                                                                                                                                                                        <w:right w:val="none" w:sz="0" w:space="0" w:color="auto"/>
                                                                                                                                                                                                                                                                      </w:divBdr>
                                                                                                                                                                                                                                                                      <w:divsChild>
                                                                                                                                                                                                                                                                        <w:div w:id="392580358">
                                                                                                                                                                                                                                                                          <w:marLeft w:val="0"/>
                                                                                                                                                                                                                                                                          <w:marRight w:val="0"/>
                                                                                                                                                                                                                                                                          <w:marTop w:val="0"/>
                                                                                                                                                                                                                                                                          <w:marBottom w:val="0"/>
                                                                                                                                                                                                                                                                          <w:divBdr>
                                                                                                                                                                                                                                                                            <w:top w:val="none" w:sz="0" w:space="0" w:color="auto"/>
                                                                                                                                                                                                                                                                            <w:left w:val="none" w:sz="0" w:space="0" w:color="auto"/>
                                                                                                                                                                                                                                                                            <w:bottom w:val="none" w:sz="0" w:space="0" w:color="auto"/>
                                                                                                                                                                                                                                                                            <w:right w:val="none" w:sz="0" w:space="0" w:color="auto"/>
                                                                                                                                                                                                                                                                          </w:divBdr>
                                                                                                                                                                                                                                                                          <w:divsChild>
                                                                                                                                                                                                                                                                            <w:div w:id="919752343">
                                                                                                                                                                                                                                                                              <w:marLeft w:val="0"/>
                                                                                                                                                                                                                                                                              <w:marRight w:val="0"/>
                                                                                                                                                                                                                                                                              <w:marTop w:val="0"/>
                                                                                                                                                                                                                                                                              <w:marBottom w:val="0"/>
                                                                                                                                                                                                                                                                              <w:divBdr>
                                                                                                                                                                                                                                                                                <w:top w:val="none" w:sz="0" w:space="0" w:color="auto"/>
                                                                                                                                                                                                                                                                                <w:left w:val="none" w:sz="0" w:space="0" w:color="auto"/>
                                                                                                                                                                                                                                                                                <w:bottom w:val="none" w:sz="0" w:space="0" w:color="auto"/>
                                                                                                                                                                                                                                                                                <w:right w:val="none" w:sz="0" w:space="0" w:color="auto"/>
                                                                                                                                                                                                                                                                              </w:divBdr>
                                                                                                                                                                                                                                                                              <w:divsChild>
                                                                                                                                                                                                                                                                                <w:div w:id="321588503">
                                                                                                                                                                                                                                                                                  <w:marLeft w:val="0"/>
                                                                                                                                                                                                                                                                                  <w:marRight w:val="0"/>
                                                                                                                                                                                                                                                                                  <w:marTop w:val="0"/>
                                                                                                                                                                                                                                                                                  <w:marBottom w:val="0"/>
                                                                                                                                                                                                                                                                                  <w:divBdr>
                                                                                                                                                                                                                                                                                    <w:top w:val="none" w:sz="0" w:space="0" w:color="auto"/>
                                                                                                                                                                                                                                                                                    <w:left w:val="none" w:sz="0" w:space="0" w:color="auto"/>
                                                                                                                                                                                                                                                                                    <w:bottom w:val="none" w:sz="0" w:space="0" w:color="auto"/>
                                                                                                                                                                                                                                                                                    <w:right w:val="none" w:sz="0" w:space="0" w:color="auto"/>
                                                                                                                                                                                                                                                                                  </w:divBdr>
                                                                                                                                                                                                                                                                                  <w:divsChild>
                                                                                                                                                                                                                                                                                    <w:div w:id="421873272">
                                                                                                                                                                                                                                                                                      <w:marLeft w:val="0"/>
                                                                                                                                                                                                                                                                                      <w:marRight w:val="0"/>
                                                                                                                                                                                                                                                                                      <w:marTop w:val="0"/>
                                                                                                                                                                                                                                                                                      <w:marBottom w:val="0"/>
                                                                                                                                                                                                                                                                                      <w:divBdr>
                                                                                                                                                                                                                                                                                        <w:top w:val="none" w:sz="0" w:space="0" w:color="auto"/>
                                                                                                                                                                                                                                                                                        <w:left w:val="none" w:sz="0" w:space="0" w:color="auto"/>
                                                                                                                                                                                                                                                                                        <w:bottom w:val="none" w:sz="0" w:space="0" w:color="auto"/>
                                                                                                                                                                                                                                                                                        <w:right w:val="none" w:sz="0" w:space="0" w:color="auto"/>
                                                                                                                                                                                                                                                                                      </w:divBdr>
                                                                                                                                                                                                                                                                                      <w:divsChild>
                                                                                                                                                                                                                                                                                        <w:div w:id="526455893">
                                                                                                                                                                                                                                                                                          <w:marLeft w:val="0"/>
                                                                                                                                                                                                                                                                                          <w:marRight w:val="0"/>
                                                                                                                                                                                                                                                                                          <w:marTop w:val="0"/>
                                                                                                                                                                                                                                                                                          <w:marBottom w:val="0"/>
                                                                                                                                                                                                                                                                                          <w:divBdr>
                                                                                                                                                                                                                                                                                            <w:top w:val="none" w:sz="0" w:space="0" w:color="auto"/>
                                                                                                                                                                                                                                                                                            <w:left w:val="none" w:sz="0" w:space="0" w:color="auto"/>
                                                                                                                                                                                                                                                                                            <w:bottom w:val="none" w:sz="0" w:space="0" w:color="auto"/>
                                                                                                                                                                                                                                                                                            <w:right w:val="none" w:sz="0" w:space="0" w:color="auto"/>
                                                                                                                                                                                                                                                                                          </w:divBdr>
                                                                                                                                                                                                                                                                                          <w:divsChild>
                                                                                                                                                                                                                                                                                            <w:div w:id="144514448">
                                                                                                                                                                                                                                                                                              <w:marLeft w:val="0"/>
                                                                                                                                                                                                                                                                                              <w:marRight w:val="0"/>
                                                                                                                                                                                                                                                                                              <w:marTop w:val="0"/>
                                                                                                                                                                                                                                                                                              <w:marBottom w:val="0"/>
                                                                                                                                                                                                                                                                                              <w:divBdr>
                                                                                                                                                                                                                                                                                                <w:top w:val="none" w:sz="0" w:space="0" w:color="auto"/>
                                                                                                                                                                                                                                                                                                <w:left w:val="none" w:sz="0" w:space="0" w:color="auto"/>
                                                                                                                                                                                                                                                                                                <w:bottom w:val="none" w:sz="0" w:space="0" w:color="auto"/>
                                                                                                                                                                                                                                                                                                <w:right w:val="none" w:sz="0" w:space="0" w:color="auto"/>
                                                                                                                                                                                                                                                                                              </w:divBdr>
                                                                                                                                                                                                                                                                                              <w:divsChild>
                                                                                                                                                                                                                                                                                                <w:div w:id="190999486">
                                                                                                                                                                                                                                                                                                  <w:marLeft w:val="0"/>
                                                                                                                                                                                                                                                                                                  <w:marRight w:val="0"/>
                                                                                                                                                                                                                                                                                                  <w:marTop w:val="0"/>
                                                                                                                                                                                                                                                                                                  <w:marBottom w:val="0"/>
                                                                                                                                                                                                                                                                                                  <w:divBdr>
                                                                                                                                                                                                                                                                                                    <w:top w:val="none" w:sz="0" w:space="0" w:color="auto"/>
                                                                                                                                                                                                                                                                                                    <w:left w:val="none" w:sz="0" w:space="0" w:color="auto"/>
                                                                                                                                                                                                                                                                                                    <w:bottom w:val="none" w:sz="0" w:space="0" w:color="auto"/>
                                                                                                                                                                                                                                                                                                    <w:right w:val="none" w:sz="0" w:space="0" w:color="auto"/>
                                                                                                                                                                                                                                                                                                  </w:divBdr>
                                                                                                                                                                                                                                                                                                  <w:divsChild>
                                                                                                                                                                                                                                                                                                    <w:div w:id="1439833844">
                                                                                                                                                                                                                                                                                                      <w:marLeft w:val="0"/>
                                                                                                                                                                                                                                                                                                      <w:marRight w:val="0"/>
                                                                                                                                                                                                                                                                                                      <w:marTop w:val="0"/>
                                                                                                                                                                                                                                                                                                      <w:marBottom w:val="0"/>
                                                                                                                                                                                                                                                                                                      <w:divBdr>
                                                                                                                                                                                                                                                                                                        <w:top w:val="none" w:sz="0" w:space="0" w:color="auto"/>
                                                                                                                                                                                                                                                                                                        <w:left w:val="none" w:sz="0" w:space="0" w:color="auto"/>
                                                                                                                                                                                                                                                                                                        <w:bottom w:val="none" w:sz="0" w:space="0" w:color="auto"/>
                                                                                                                                                                                                                                                                                                        <w:right w:val="none" w:sz="0" w:space="0" w:color="auto"/>
                                                                                                                                                                                                                                                                                                      </w:divBdr>
                                                                                                                                                                                                                                                                                                      <w:divsChild>
                                                                                                                                                                                                                                                                                                        <w:div w:id="1628581760">
                                                                                                                                                                                                                                                                                                          <w:marLeft w:val="0"/>
                                                                                                                                                                                                                                                                                                          <w:marRight w:val="0"/>
                                                                                                                                                                                                                                                                                                          <w:marTop w:val="0"/>
                                                                                                                                                                                                                                                                                                          <w:marBottom w:val="0"/>
                                                                                                                                                                                                                                                                                                          <w:divBdr>
                                                                                                                                                                                                                                                                                                            <w:top w:val="none" w:sz="0" w:space="0" w:color="auto"/>
                                                                                                                                                                                                                                                                                                            <w:left w:val="none" w:sz="0" w:space="0" w:color="auto"/>
                                                                                                                                                                                                                                                                                                            <w:bottom w:val="none" w:sz="0" w:space="0" w:color="auto"/>
                                                                                                                                                                                                                                                                                                            <w:right w:val="none" w:sz="0" w:space="0" w:color="auto"/>
                                                                                                                                                                                                                                                                                                          </w:divBdr>
                                                                                                                                                                                                                                                                                                          <w:divsChild>
                                                                                                                                                                                                                                                                                                            <w:div w:id="1823622101">
                                                                                                                                                                                                                                                                                                              <w:marLeft w:val="0"/>
                                                                                                                                                                                                                                                                                                              <w:marRight w:val="0"/>
                                                                                                                                                                                                                                                                                                              <w:marTop w:val="0"/>
                                                                                                                                                                                                                                                                                                              <w:marBottom w:val="0"/>
                                                                                                                                                                                                                                                                                                              <w:divBdr>
                                                                                                                                                                                                                                                                                                                <w:top w:val="none" w:sz="0" w:space="0" w:color="auto"/>
                                                                                                                                                                                                                                                                                                                <w:left w:val="none" w:sz="0" w:space="0" w:color="auto"/>
                                                                                                                                                                                                                                                                                                                <w:bottom w:val="none" w:sz="0" w:space="0" w:color="auto"/>
                                                                                                                                                                                                                                                                                                                <w:right w:val="none" w:sz="0" w:space="0" w:color="auto"/>
                                                                                                                                                                                                                                                                                                              </w:divBdr>
                                                                                                                                                                                                                                                                                                              <w:divsChild>
                                                                                                                                                                                                                                                                                                                <w:div w:id="456678583">
                                                                                                                                                                                                                                                                                                                  <w:marLeft w:val="0"/>
                                                                                                                                                                                                                                                                                                                  <w:marRight w:val="0"/>
                                                                                                                                                                                                                                                                                                                  <w:marTop w:val="0"/>
                                                                                                                                                                                                                                                                                                                  <w:marBottom w:val="0"/>
                                                                                                                                                                                                                                                                                                                  <w:divBdr>
                                                                                                                                                                                                                                                                                                                    <w:top w:val="none" w:sz="0" w:space="0" w:color="auto"/>
                                                                                                                                                                                                                                                                                                                    <w:left w:val="none" w:sz="0" w:space="0" w:color="auto"/>
                                                                                                                                                                                                                                                                                                                    <w:bottom w:val="none" w:sz="0" w:space="0" w:color="auto"/>
                                                                                                                                                                                                                                                                                                                    <w:right w:val="none" w:sz="0" w:space="0" w:color="auto"/>
                                                                                                                                                                                                                                                                                                                  </w:divBdr>
                                                                                                                                                                                                                                                                                                                  <w:divsChild>
                                                                                                                                                                                                                                                                                                                    <w:div w:id="1025402464">
                                                                                                                                                                                                                                                                                                                      <w:marLeft w:val="0"/>
                                                                                                                                                                                                                                                                                                                      <w:marRight w:val="0"/>
                                                                                                                                                                                                                                                                                                                      <w:marTop w:val="0"/>
                                                                                                                                                                                                                                                                                                                      <w:marBottom w:val="0"/>
                                                                                                                                                                                                                                                                                                                      <w:divBdr>
                                                                                                                                                                                                                                                                                                                        <w:top w:val="none" w:sz="0" w:space="0" w:color="auto"/>
                                                                                                                                                                                                                                                                                                                        <w:left w:val="none" w:sz="0" w:space="0" w:color="auto"/>
                                                                                                                                                                                                                                                                                                                        <w:bottom w:val="none" w:sz="0" w:space="0" w:color="auto"/>
                                                                                                                                                                                                                                                                                                                        <w:right w:val="none" w:sz="0" w:space="0" w:color="auto"/>
                                                                                                                                                                                                                                                                                                                      </w:divBdr>
                                                                                                                                                                                                                                                                                                                      <w:divsChild>
                                                                                                                                                                                                                                                                                                                        <w:div w:id="1637951082">
                                                                                                                                                                                                                                                                                                                          <w:marLeft w:val="0"/>
                                                                                                                                                                                                                                                                                                                          <w:marRight w:val="0"/>
                                                                                                                                                                                                                                                                                                                          <w:marTop w:val="0"/>
                                                                                                                                                                                                                                                                                                                          <w:marBottom w:val="0"/>
                                                                                                                                                                                                                                                                                                                          <w:divBdr>
                                                                                                                                                                                                                                                                                                                            <w:top w:val="none" w:sz="0" w:space="0" w:color="auto"/>
                                                                                                                                                                                                                                                                                                                            <w:left w:val="none" w:sz="0" w:space="0" w:color="auto"/>
                                                                                                                                                                                                                                                                                                                            <w:bottom w:val="none" w:sz="0" w:space="0" w:color="auto"/>
                                                                                                                                                                                                                                                                                                                            <w:right w:val="none" w:sz="0" w:space="0" w:color="auto"/>
                                                                                                                                                                                                                                                                                                                          </w:divBdr>
                                                                                                                                                                                                                                                                                                                          <w:divsChild>
                                                                                                                                                                                                                                                                                                                            <w:div w:id="758453155">
                                                                                                                                                                                                                                                                                                                              <w:marLeft w:val="0"/>
                                                                                                                                                                                                                                                                                                                              <w:marRight w:val="0"/>
                                                                                                                                                                                                                                                                                                                              <w:marTop w:val="0"/>
                                                                                                                                                                                                                                                                                                                              <w:marBottom w:val="0"/>
                                                                                                                                                                                                                                                                                                                              <w:divBdr>
                                                                                                                                                                                                                                                                                                                                <w:top w:val="none" w:sz="0" w:space="0" w:color="auto"/>
                                                                                                                                                                                                                                                                                                                                <w:left w:val="none" w:sz="0" w:space="0" w:color="auto"/>
                                                                                                                                                                                                                                                                                                                                <w:bottom w:val="none" w:sz="0" w:space="0" w:color="auto"/>
                                                                                                                                                                                                                                                                                                                                <w:right w:val="none" w:sz="0" w:space="0" w:color="auto"/>
                                                                                                                                                                                                                                                                                                                              </w:divBdr>
                                                                                                                                                                                                                                                                                                                              <w:divsChild>
                                                                                                                                                                                                                                                                                                                                <w:div w:id="609974702">
                                                                                                                                                                                                                                                                                                                                  <w:marLeft w:val="0"/>
                                                                                                                                                                                                                                                                                                                                  <w:marRight w:val="0"/>
                                                                                                                                                                                                                                                                                                                                  <w:marTop w:val="0"/>
                                                                                                                                                                                                                                                                                                                                  <w:marBottom w:val="0"/>
                                                                                                                                                                                                                                                                                                                                  <w:divBdr>
                                                                                                                                                                                                                                                                                                                                    <w:top w:val="none" w:sz="0" w:space="0" w:color="auto"/>
                                                                                                                                                                                                                                                                                                                                    <w:left w:val="none" w:sz="0" w:space="0" w:color="auto"/>
                                                                                                                                                                                                                                                                                                                                    <w:bottom w:val="none" w:sz="0" w:space="0" w:color="auto"/>
                                                                                                                                                                                                                                                                                                                                    <w:right w:val="none" w:sz="0" w:space="0" w:color="auto"/>
                                                                                                                                                                                                                                                                                                                                  </w:divBdr>
                                                                                                                                                                                                                                                                                                                                  <w:divsChild>
                                                                                                                                                                                                                                                                                                                                    <w:div w:id="496263456">
                                                                                                                                                                                                                                                                                                                                      <w:marLeft w:val="0"/>
                                                                                                                                                                                                                                                                                                                                      <w:marRight w:val="0"/>
                                                                                                                                                                                                                                                                                                                                      <w:marTop w:val="0"/>
                                                                                                                                                                                                                                                                                                                                      <w:marBottom w:val="0"/>
                                                                                                                                                                                                                                                                                                                                      <w:divBdr>
                                                                                                                                                                                                                                                                                                                                        <w:top w:val="none" w:sz="0" w:space="0" w:color="auto"/>
                                                                                                                                                                                                                                                                                                                                        <w:left w:val="none" w:sz="0" w:space="0" w:color="auto"/>
                                                                                                                                                                                                                                                                                                                                        <w:bottom w:val="none" w:sz="0" w:space="0" w:color="auto"/>
                                                                                                                                                                                                                                                                                                                                        <w:right w:val="none" w:sz="0" w:space="0" w:color="auto"/>
                                                                                                                                                                                                                                                                                                                                      </w:divBdr>
                                                                                                                                                                                                                                                                                                                                      <w:divsChild>
                                                                                                                                                                                                                                                                                                                                        <w:div w:id="2018073070">
                                                                                                                                                                                                                                                                                                                                          <w:marLeft w:val="0"/>
                                                                                                                                                                                                                                                                                                                                          <w:marRight w:val="0"/>
                                                                                                                                                                                                                                                                                                                                          <w:marTop w:val="0"/>
                                                                                                                                                                                                                                                                                                                                          <w:marBottom w:val="0"/>
                                                                                                                                                                                                                                                                                                                                          <w:divBdr>
                                                                                                                                                                                                                                                                                                                                            <w:top w:val="none" w:sz="0" w:space="0" w:color="auto"/>
                                                                                                                                                                                                                                                                                                                                            <w:left w:val="none" w:sz="0" w:space="0" w:color="auto"/>
                                                                                                                                                                                                                                                                                                                                            <w:bottom w:val="none" w:sz="0" w:space="0" w:color="auto"/>
                                                                                                                                                                                                                                                                                                                                            <w:right w:val="none" w:sz="0" w:space="0" w:color="auto"/>
                                                                                                                                                                                                                                                                                                                                          </w:divBdr>
                                                                                                                                                                                                                                                                                                                                          <w:divsChild>
                                                                                                                                                                                                                                                                                                                                            <w:div w:id="859322622">
                                                                                                                                                                                                                                                                                                                                              <w:marLeft w:val="0"/>
                                                                                                                                                                                                                                                                                                                                              <w:marRight w:val="0"/>
                                                                                                                                                                                                                                                                                                                                              <w:marTop w:val="0"/>
                                                                                                                                                                                                                                                                                                                                              <w:marBottom w:val="0"/>
                                                                                                                                                                                                                                                                                                                                              <w:divBdr>
                                                                                                                                                                                                                                                                                                                                                <w:top w:val="none" w:sz="0" w:space="0" w:color="auto"/>
                                                                                                                                                                                                                                                                                                                                                <w:left w:val="none" w:sz="0" w:space="0" w:color="auto"/>
                                                                                                                                                                                                                                                                                                                                                <w:bottom w:val="none" w:sz="0" w:space="0" w:color="auto"/>
                                                                                                                                                                                                                                                                                                                                                <w:right w:val="none" w:sz="0" w:space="0" w:color="auto"/>
                                                                                                                                                                                                                                                                                                                                              </w:divBdr>
                                                                                                                                                                                                                                                                                                                                              <w:divsChild>
                                                                                                                                                                                                                                                                                                                                                <w:div w:id="1395011382">
                                                                                                                                                                                                                                                                                                                                                  <w:marLeft w:val="0"/>
                                                                                                                                                                                                                                                                                                                                                  <w:marRight w:val="0"/>
                                                                                                                                                                                                                                                                                                                                                  <w:marTop w:val="0"/>
                                                                                                                                                                                                                                                                                                                                                  <w:marBottom w:val="0"/>
                                                                                                                                                                                                                                                                                                                                                  <w:divBdr>
                                                                                                                                                                                                                                                                                                                                                    <w:top w:val="none" w:sz="0" w:space="0" w:color="auto"/>
                                                                                                                                                                                                                                                                                                                                                    <w:left w:val="none" w:sz="0" w:space="0" w:color="auto"/>
                                                                                                                                                                                                                                                                                                                                                    <w:bottom w:val="none" w:sz="0" w:space="0" w:color="auto"/>
                                                                                                                                                                                                                                                                                                                                                    <w:right w:val="none" w:sz="0" w:space="0" w:color="auto"/>
                                                                                                                                                                                                                                                                                                                                                  </w:divBdr>
                                                                                                                                                                                                                                                                                                                                                  <w:divsChild>
                                                                                                                                                                                                                                                                                                                                                    <w:div w:id="419451532">
                                                                                                                                                                                                                                                                                                                                                      <w:marLeft w:val="0"/>
                                                                                                                                                                                                                                                                                                                                                      <w:marRight w:val="0"/>
                                                                                                                                                                                                                                                                                                                                                      <w:marTop w:val="0"/>
                                                                                                                                                                                                                                                                                                                                                      <w:marBottom w:val="0"/>
                                                                                                                                                                                                                                                                                                                                                      <w:divBdr>
                                                                                                                                                                                                                                                                                                                                                        <w:top w:val="none" w:sz="0" w:space="0" w:color="auto"/>
                                                                                                                                                                                                                                                                                                                                                        <w:left w:val="none" w:sz="0" w:space="0" w:color="auto"/>
                                                                                                                                                                                                                                                                                                                                                        <w:bottom w:val="none" w:sz="0" w:space="0" w:color="auto"/>
                                                                                                                                                                                                                                                                                                                                                        <w:right w:val="none" w:sz="0" w:space="0" w:color="auto"/>
                                                                                                                                                                                                                                                                                                                                                      </w:divBdr>
                                                                                                                                                                                                                                                                                                                                                      <w:divsChild>
                                                                                                                                                                                                                                                                                                                                                        <w:div w:id="202714830">
                                                                                                                                                                                                                                                                                                                                                          <w:marLeft w:val="0"/>
                                                                                                                                                                                                                                                                                                                                                          <w:marRight w:val="0"/>
                                                                                                                                                                                                                                                                                                                                                          <w:marTop w:val="0"/>
                                                                                                                                                                                                                                                                                                                                                          <w:marBottom w:val="0"/>
                                                                                                                                                                                                                                                                                                                                                          <w:divBdr>
                                                                                                                                                                                                                                                                                                                                                            <w:top w:val="none" w:sz="0" w:space="0" w:color="auto"/>
                                                                                                                                                                                                                                                                                                                                                            <w:left w:val="none" w:sz="0" w:space="0" w:color="auto"/>
                                                                                                                                                                                                                                                                                                                                                            <w:bottom w:val="none" w:sz="0" w:space="0" w:color="auto"/>
                                                                                                                                                                                                                                                                                                                                                            <w:right w:val="none" w:sz="0" w:space="0" w:color="auto"/>
                                                                                                                                                                                                                                                                                                                                                          </w:divBdr>
                                                                                                                                                                                                                                                                                                                                                          <w:divsChild>
                                                                                                                                                                                                                                                                                                                                                            <w:div w:id="2067947177">
                                                                                                                                                                                                                                                                                                                                                              <w:marLeft w:val="0"/>
                                                                                                                                                                                                                                                                                                                                                              <w:marRight w:val="0"/>
                                                                                                                                                                                                                                                                                                                                                              <w:marTop w:val="0"/>
                                                                                                                                                                                                                                                                                                                                                              <w:marBottom w:val="0"/>
                                                                                                                                                                                                                                                                                                                                                              <w:divBdr>
                                                                                                                                                                                                                                                                                                                                                                <w:top w:val="none" w:sz="0" w:space="0" w:color="auto"/>
                                                                                                                                                                                                                                                                                                                                                                <w:left w:val="none" w:sz="0" w:space="0" w:color="auto"/>
                                                                                                                                                                                                                                                                                                                                                                <w:bottom w:val="none" w:sz="0" w:space="0" w:color="auto"/>
                                                                                                                                                                                                                                                                                                                                                                <w:right w:val="none" w:sz="0" w:space="0" w:color="auto"/>
                                                                                                                                                                                                                                                                                                                                                              </w:divBdr>
                                                                                                                                                                                                                                                                                                                                                              <w:divsChild>
                                                                                                                                                                                                                                                                                                                                                                <w:div w:id="593436480">
                                                                                                                                                                                                                                                                                                                                                                  <w:marLeft w:val="0"/>
                                                                                                                                                                                                                                                                                                                                                                  <w:marRight w:val="0"/>
                                                                                                                                                                                                                                                                                                                                                                  <w:marTop w:val="0"/>
                                                                                                                                                                                                                                                                                                                                                                  <w:marBottom w:val="0"/>
                                                                                                                                                                                                                                                                                                                                                                  <w:divBdr>
                                                                                                                                                                                                                                                                                                                                                                    <w:top w:val="none" w:sz="0" w:space="0" w:color="auto"/>
                                                                                                                                                                                                                                                                                                                                                                    <w:left w:val="none" w:sz="0" w:space="0" w:color="auto"/>
                                                                                                                                                                                                                                                                                                                                                                    <w:bottom w:val="none" w:sz="0" w:space="0" w:color="auto"/>
                                                                                                                                                                                                                                                                                                                                                                    <w:right w:val="none" w:sz="0" w:space="0" w:color="auto"/>
                                                                                                                                                                                                                                                                                                                                                                  </w:divBdr>
                                                                                                                                                                                                                                                                                                                                                                  <w:divsChild>
                                                                                                                                                                                                                                                                                                                                                                    <w:div w:id="1364791081">
                                                                                                                                                                                                                                                                                                                                                                      <w:marLeft w:val="0"/>
                                                                                                                                                                                                                                                                                                                                                                      <w:marRight w:val="0"/>
                                                                                                                                                                                                                                                                                                                                                                      <w:marTop w:val="0"/>
                                                                                                                                                                                                                                                                                                                                                                      <w:marBottom w:val="0"/>
                                                                                                                                                                                                                                                                                                                                                                      <w:divBdr>
                                                                                                                                                                                                                                                                                                                                                                        <w:top w:val="none" w:sz="0" w:space="0" w:color="auto"/>
                                                                                                                                                                                                                                                                                                                                                                        <w:left w:val="none" w:sz="0" w:space="0" w:color="auto"/>
                                                                                                                                                                                                                                                                                                                                                                        <w:bottom w:val="none" w:sz="0" w:space="0" w:color="auto"/>
                                                                                                                                                                                                                                                                                                                                                                        <w:right w:val="none" w:sz="0" w:space="0" w:color="auto"/>
                                                                                                                                                                                                                                                                                                                                                                      </w:divBdr>
                                                                                                                                                                                                                                                                                                                                                                      <w:divsChild>
                                                                                                                                                                                                                                                                                                                                                                        <w:div w:id="907886545">
                                                                                                                                                                                                                                                                                                                                                                          <w:marLeft w:val="0"/>
                                                                                                                                                                                                                                                                                                                                                                          <w:marRight w:val="0"/>
                                                                                                                                                                                                                                                                                                                                                                          <w:marTop w:val="0"/>
                                                                                                                                                                                                                                                                                                                                                                          <w:marBottom w:val="0"/>
                                                                                                                                                                                                                                                                                                                                                                          <w:divBdr>
                                                                                                                                                                                                                                                                                                                                                                            <w:top w:val="none" w:sz="0" w:space="0" w:color="auto"/>
                                                                                                                                                                                                                                                                                                                                                                            <w:left w:val="none" w:sz="0" w:space="0" w:color="auto"/>
                                                                                                                                                                                                                                                                                                                                                                            <w:bottom w:val="none" w:sz="0" w:space="0" w:color="auto"/>
                                                                                                                                                                                                                                                                                                                                                                            <w:right w:val="none" w:sz="0" w:space="0" w:color="auto"/>
                                                                                                                                                                                                                                                                                                                                                                          </w:divBdr>
                                                                                                                                                                                                                                                                                                                                                                          <w:divsChild>
                                                                                                                                                                                                                                                                                                                                                                            <w:div w:id="1100298072">
                                                                                                                                                                                                                                                                                                                                                                              <w:marLeft w:val="0"/>
                                                                                                                                                                                                                                                                                                                                                                              <w:marRight w:val="0"/>
                                                                                                                                                                                                                                                                                                                                                                              <w:marTop w:val="0"/>
                                                                                                                                                                                                                                                                                                                                                                              <w:marBottom w:val="0"/>
                                                                                                                                                                                                                                                                                                                                                                              <w:divBdr>
                                                                                                                                                                                                                                                                                                                                                                                <w:top w:val="none" w:sz="0" w:space="0" w:color="auto"/>
                                                                                                                                                                                                                                                                                                                                                                                <w:left w:val="none" w:sz="0" w:space="0" w:color="auto"/>
                                                                                                                                                                                                                                                                                                                                                                                <w:bottom w:val="none" w:sz="0" w:space="0" w:color="auto"/>
                                                                                                                                                                                                                                                                                                                                                                                <w:right w:val="none" w:sz="0" w:space="0" w:color="auto"/>
                                                                                                                                                                                                                                                                                                                                                                              </w:divBdr>
                                                                                                                                                                                                                                                                                                                                                                              <w:divsChild>
                                                                                                                                                                                                                                                                                                                                                                                <w:div w:id="568462061">
                                                                                                                                                                                                                                                                                                                                                                                  <w:marLeft w:val="0"/>
                                                                                                                                                                                                                                                                                                                                                                                  <w:marRight w:val="0"/>
                                                                                                                                                                                                                                                                                                                                                                                  <w:marTop w:val="0"/>
                                                                                                                                                                                                                                                                                                                                                                                  <w:marBottom w:val="0"/>
                                                                                                                                                                                                                                                                                                                                                                                  <w:divBdr>
                                                                                                                                                                                                                                                                                                                                                                                    <w:top w:val="none" w:sz="0" w:space="0" w:color="auto"/>
                                                                                                                                                                                                                                                                                                                                                                                    <w:left w:val="none" w:sz="0" w:space="0" w:color="auto"/>
                                                                                                                                                                                                                                                                                                                                                                                    <w:bottom w:val="none" w:sz="0" w:space="0" w:color="auto"/>
                                                                                                                                                                                                                                                                                                                                                                                    <w:right w:val="none" w:sz="0" w:space="0" w:color="auto"/>
                                                                                                                                                                                                                                                                                                                                                                                  </w:divBdr>
                                                                                                                                                                                                                                                                                                                                                                                  <w:divsChild>
                                                                                                                                                                                                                                                                                                                                                                                    <w:div w:id="2053917692">
                                                                                                                                                                                                                                                                                                                                                                                      <w:marLeft w:val="0"/>
                                                                                                                                                                                                                                                                                                                                                                                      <w:marRight w:val="0"/>
                                                                                                                                                                                                                                                                                                                                                                                      <w:marTop w:val="0"/>
                                                                                                                                                                                                                                                                                                                                                                                      <w:marBottom w:val="0"/>
                                                                                                                                                                                                                                                                                                                                                                                      <w:divBdr>
                                                                                                                                                                                                                                                                                                                                                                                        <w:top w:val="none" w:sz="0" w:space="0" w:color="auto"/>
                                                                                                                                                                                                                                                                                                                                                                                        <w:left w:val="none" w:sz="0" w:space="0" w:color="auto"/>
                                                                                                                                                                                                                                                                                                                                                                                        <w:bottom w:val="none" w:sz="0" w:space="0" w:color="auto"/>
                                                                                                                                                                                                                                                                                                                                                                                        <w:right w:val="none" w:sz="0" w:space="0" w:color="auto"/>
                                                                                                                                                                                                                                                                                                                                                                                      </w:divBdr>
                                                                                                                                                                                                                                                                                                                                                                                      <w:divsChild>
                                                                                                                                                                                                                                                                                                                                                                                        <w:div w:id="733816224">
                                                                                                                                                                                                                                                                                                                                                                                          <w:marLeft w:val="0"/>
                                                                                                                                                                                                                                                                                                                                                                                          <w:marRight w:val="0"/>
                                                                                                                                                                                                                                                                                                                                                                                          <w:marTop w:val="0"/>
                                                                                                                                                                                                                                                                                                                                                                                          <w:marBottom w:val="0"/>
                                                                                                                                                                                                                                                                                                                                                                                          <w:divBdr>
                                                                                                                                                                                                                                                                                                                                                                                            <w:top w:val="none" w:sz="0" w:space="0" w:color="auto"/>
                                                                                                                                                                                                                                                                                                                                                                                            <w:left w:val="none" w:sz="0" w:space="0" w:color="auto"/>
                                                                                                                                                                                                                                                                                                                                                                                            <w:bottom w:val="none" w:sz="0" w:space="0" w:color="auto"/>
                                                                                                                                                                                                                                                                                                                                                                                            <w:right w:val="none" w:sz="0" w:space="0" w:color="auto"/>
                                                                                                                                                                                                                                                                                                                                                                                          </w:divBdr>
                                                                                                                                                                                                                                                                                                                                                                                          <w:divsChild>
                                                                                                                                                                                                                                                                                                                                                                                            <w:div w:id="1352141906">
                                                                                                                                                                                                                                                                                                                                                                                              <w:marLeft w:val="0"/>
                                                                                                                                                                                                                                                                                                                                                                                              <w:marRight w:val="0"/>
                                                                                                                                                                                                                                                                                                                                                                                              <w:marTop w:val="0"/>
                                                                                                                                                                                                                                                                                                                                                                                              <w:marBottom w:val="0"/>
                                                                                                                                                                                                                                                                                                                                                                                              <w:divBdr>
                                                                                                                                                                                                                                                                                                                                                                                                <w:top w:val="none" w:sz="0" w:space="0" w:color="auto"/>
                                                                                                                                                                                                                                                                                                                                                                                                <w:left w:val="none" w:sz="0" w:space="0" w:color="auto"/>
                                                                                                                                                                                                                                                                                                                                                                                                <w:bottom w:val="none" w:sz="0" w:space="0" w:color="auto"/>
                                                                                                                                                                                                                                                                                                                                                                                                <w:right w:val="none" w:sz="0" w:space="0" w:color="auto"/>
                                                                                                                                                                                                                                                                                                                                                                                              </w:divBdr>
                                                                                                                                                                                                                                                                                                                                                                                              <w:divsChild>
                                                                                                                                                                                                                                                                                                                                                                                                <w:div w:id="906379748">
                                                                                                                                                                                                                                                                                                                                                                                                  <w:marLeft w:val="0"/>
                                                                                                                                                                                                                                                                                                                                                                                                  <w:marRight w:val="0"/>
                                                                                                                                                                                                                                                                                                                                                                                                  <w:marTop w:val="0"/>
                                                                                                                                                                                                                                                                                                                                                                                                  <w:marBottom w:val="0"/>
                                                                                                                                                                                                                                                                                                                                                                                                  <w:divBdr>
                                                                                                                                                                                                                                                                                                                                                                                                    <w:top w:val="none" w:sz="0" w:space="0" w:color="auto"/>
                                                                                                                                                                                                                                                                                                                                                                                                    <w:left w:val="none" w:sz="0" w:space="0" w:color="auto"/>
                                                                                                                                                                                                                                                                                                                                                                                                    <w:bottom w:val="none" w:sz="0" w:space="0" w:color="auto"/>
                                                                                                                                                                                                                                                                                                                                                                                                    <w:right w:val="none" w:sz="0" w:space="0" w:color="auto"/>
                                                                                                                                                                                                                                                                                                                                                                                                  </w:divBdr>
                                                                                                                                                                                                                                                                                                                                                                                                  <w:divsChild>
                                                                                                                                                                                                                                                                                                                                                                                                    <w:div w:id="1062215533">
                                                                                                                                                                                                                                                                                                                                                                                                      <w:marLeft w:val="0"/>
                                                                                                                                                                                                                                                                                                                                                                                                      <w:marRight w:val="0"/>
                                                                                                                                                                                                                                                                                                                                                                                                      <w:marTop w:val="0"/>
                                                                                                                                                                                                                                                                                                                                                                                                      <w:marBottom w:val="0"/>
                                                                                                                                                                                                                                                                                                                                                                                                      <w:divBdr>
                                                                                                                                                                                                                                                                                                                                                                                                        <w:top w:val="none" w:sz="0" w:space="0" w:color="auto"/>
                                                                                                                                                                                                                                                                                                                                                                                                        <w:left w:val="none" w:sz="0" w:space="0" w:color="auto"/>
                                                                                                                                                                                                                                                                                                                                                                                                        <w:bottom w:val="none" w:sz="0" w:space="0" w:color="auto"/>
                                                                                                                                                                                                                                                                                                                                                                                                        <w:right w:val="none" w:sz="0" w:space="0" w:color="auto"/>
                                                                                                                                                                                                                                                                                                                                                                                                      </w:divBdr>
                                                                                                                                                                                                                                                                                                                                                                                                      <w:divsChild>
                                                                                                                                                                                                                                                                                                                                                                                                        <w:div w:id="22443805">
                                                                                                                                                                                                                                                                                                                                                                                                          <w:marLeft w:val="0"/>
                                                                                                                                                                                                                                                                                                                                                                                                          <w:marRight w:val="0"/>
                                                                                                                                                                                                                                                                                                                                                                                                          <w:marTop w:val="0"/>
                                                                                                                                                                                                                                                                                                                                                                                                          <w:marBottom w:val="0"/>
                                                                                                                                                                                                                                                                                                                                                                                                          <w:divBdr>
                                                                                                                                                                                                                                                                                                                                                                                                            <w:top w:val="none" w:sz="0" w:space="0" w:color="auto"/>
                                                                                                                                                                                                                                                                                                                                                                                                            <w:left w:val="none" w:sz="0" w:space="0" w:color="auto"/>
                                                                                                                                                                                                                                                                                                                                                                                                            <w:bottom w:val="none" w:sz="0" w:space="0" w:color="auto"/>
                                                                                                                                                                                                                                                                                                                                                                                                            <w:right w:val="none" w:sz="0" w:space="0" w:color="auto"/>
                                                                                                                                                                                                                                                                                                                                                                                                          </w:divBdr>
                                                                                                                                                                                                                                                                                                                                                                                                          <w:divsChild>
                                                                                                                                                                                                                                                                                                                                                                                                            <w:div w:id="790366125">
                                                                                                                                                                                                                                                                                                                                                                                                              <w:marLeft w:val="0"/>
                                                                                                                                                                                                                                                                                                                                                                                                              <w:marRight w:val="0"/>
                                                                                                                                                                                                                                                                                                                                                                                                              <w:marTop w:val="0"/>
                                                                                                                                                                                                                                                                                                                                                                                                              <w:marBottom w:val="0"/>
                                                                                                                                                                                                                                                                                                                                                                                                              <w:divBdr>
                                                                                                                                                                                                                                                                                                                                                                                                                <w:top w:val="none" w:sz="0" w:space="0" w:color="auto"/>
                                                                                                                                                                                                                                                                                                                                                                                                                <w:left w:val="none" w:sz="0" w:space="0" w:color="auto"/>
                                                                                                                                                                                                                                                                                                                                                                                                                <w:bottom w:val="none" w:sz="0" w:space="0" w:color="auto"/>
                                                                                                                                                                                                                                                                                                                                                                                                                <w:right w:val="none" w:sz="0" w:space="0" w:color="auto"/>
                                                                                                                                                                                                                                                                                                                                                                                                              </w:divBdr>
                                                                                                                                                                                                                                                                                                                                                                                                              <w:divsChild>
                                                                                                                                                                                                                                                                                                                                                                                                                <w:div w:id="1390953198">
                                                                                                                                                                                                                                                                                                                                                                                                                  <w:marLeft w:val="0"/>
                                                                                                                                                                                                                                                                                                                                                                                                                  <w:marRight w:val="0"/>
                                                                                                                                                                                                                                                                                                                                                                                                                  <w:marTop w:val="0"/>
                                                                                                                                                                                                                                                                                                                                                                                                                  <w:marBottom w:val="0"/>
                                                                                                                                                                                                                                                                                                                                                                                                                  <w:divBdr>
                                                                                                                                                                                                                                                                                                                                                                                                                    <w:top w:val="none" w:sz="0" w:space="0" w:color="auto"/>
                                                                                                                                                                                                                                                                                                                                                                                                                    <w:left w:val="none" w:sz="0" w:space="0" w:color="auto"/>
                                                                                                                                                                                                                                                                                                                                                                                                                    <w:bottom w:val="none" w:sz="0" w:space="0" w:color="auto"/>
                                                                                                                                                                                                                                                                                                                                                                                                                    <w:right w:val="none" w:sz="0" w:space="0" w:color="auto"/>
                                                                                                                                                                                                                                                                                                                                                                                                                  </w:divBdr>
                                                                                                                                                                                                                                                                                                                                                                                                                  <w:divsChild>
                                                                                                                                                                                                                                                                                                                                                                                                                    <w:div w:id="1587036410">
                                                                                                                                                                                                                                                                                                                                                                                                                      <w:marLeft w:val="0"/>
                                                                                                                                                                                                                                                                                                                                                                                                                      <w:marRight w:val="0"/>
                                                                                                                                                                                                                                                                                                                                                                                                                      <w:marTop w:val="0"/>
                                                                                                                                                                                                                                                                                                                                                                                                                      <w:marBottom w:val="0"/>
                                                                                                                                                                                                                                                                                                                                                                                                                      <w:divBdr>
                                                                                                                                                                                                                                                                                                                                                                                                                        <w:top w:val="none" w:sz="0" w:space="0" w:color="auto"/>
                                                                                                                                                                                                                                                                                                                                                                                                                        <w:left w:val="none" w:sz="0" w:space="0" w:color="auto"/>
                                                                                                                                                                                                                                                                                                                                                                                                                        <w:bottom w:val="none" w:sz="0" w:space="0" w:color="auto"/>
                                                                                                                                                                                                                                                                                                                                                                                                                        <w:right w:val="none" w:sz="0" w:space="0" w:color="auto"/>
                                                                                                                                                                                                                                                                                                                                                                                                                      </w:divBdr>
                                                                                                                                                                                                                                                                                                                                                                                                                      <w:divsChild>
                                                                                                                                                                                                                                                                                                                                                                                                                        <w:div w:id="1809397259">
                                                                                                                                                                                                                                                                                                                                                                                                                          <w:marLeft w:val="0"/>
                                                                                                                                                                                                                                                                                                                                                                                                                          <w:marRight w:val="0"/>
                                                                                                                                                                                                                                                                                                                                                                                                                          <w:marTop w:val="0"/>
                                                                                                                                                                                                                                                                                                                                                                                                                          <w:marBottom w:val="0"/>
                                                                                                                                                                                                                                                                                                                                                                                                                          <w:divBdr>
                                                                                                                                                                                                                                                                                                                                                                                                                            <w:top w:val="none" w:sz="0" w:space="0" w:color="auto"/>
                                                                                                                                                                                                                                                                                                                                                                                                                            <w:left w:val="none" w:sz="0" w:space="0" w:color="auto"/>
                                                                                                                                                                                                                                                                                                                                                                                                                            <w:bottom w:val="none" w:sz="0" w:space="0" w:color="auto"/>
                                                                                                                                                                                                                                                                                                                                                                                                                            <w:right w:val="none" w:sz="0" w:space="0" w:color="auto"/>
                                                                                                                                                                                                                                                                                                                                                                                                                          </w:divBdr>
                                                                                                                                                                                                                                                                                                                                                                                                                          <w:divsChild>
                                                                                                                                                                                                                                                                                                                                                                                                                            <w:div w:id="2069961055">
                                                                                                                                                                                                                                                                                                                                                                                                                              <w:marLeft w:val="0"/>
                                                                                                                                                                                                                                                                                                                                                                                                                              <w:marRight w:val="0"/>
                                                                                                                                                                                                                                                                                                                                                                                                                              <w:marTop w:val="0"/>
                                                                                                                                                                                                                                                                                                                                                                                                                              <w:marBottom w:val="0"/>
                                                                                                                                                                                                                                                                                                                                                                                                                              <w:divBdr>
                                                                                                                                                                                                                                                                                                                                                                                                                                <w:top w:val="none" w:sz="0" w:space="0" w:color="auto"/>
                                                                                                                                                                                                                                                                                                                                                                                                                                <w:left w:val="none" w:sz="0" w:space="0" w:color="auto"/>
                                                                                                                                                                                                                                                                                                                                                                                                                                <w:bottom w:val="none" w:sz="0" w:space="0" w:color="auto"/>
                                                                                                                                                                                                                                                                                                                                                                                                                                <w:right w:val="none" w:sz="0" w:space="0" w:color="auto"/>
                                                                                                                                                                                                                                                                                                                                                                                                                              </w:divBdr>
                                                                                                                                                                                                                                                                                                                                                                                                                              <w:divsChild>
                                                                                                                                                                                                                                                                                                                                                                                                                                <w:div w:id="1070275516">
                                                                                                                                                                                                                                                                                                                                                                                                                                  <w:marLeft w:val="0"/>
                                                                                                                                                                                                                                                                                                                                                                                                                                  <w:marRight w:val="0"/>
                                                                                                                                                                                                                                                                                                                                                                                                                                  <w:marTop w:val="0"/>
                                                                                                                                                                                                                                                                                                                                                                                                                                  <w:marBottom w:val="0"/>
                                                                                                                                                                                                                                                                                                                                                                                                                                  <w:divBdr>
                                                                                                                                                                                                                                                                                                                                                                                                                                    <w:top w:val="none" w:sz="0" w:space="0" w:color="auto"/>
                                                                                                                                                                                                                                                                                                                                                                                                                                    <w:left w:val="none" w:sz="0" w:space="0" w:color="auto"/>
                                                                                                                                                                                                                                                                                                                                                                                                                                    <w:bottom w:val="none" w:sz="0" w:space="0" w:color="auto"/>
                                                                                                                                                                                                                                                                                                                                                                                                                                    <w:right w:val="none" w:sz="0" w:space="0" w:color="auto"/>
                                                                                                                                                                                                                                                                                                                                                                                                                                  </w:divBdr>
                                                                                                                                                                                                                                                                                                                                                                                                                                  <w:divsChild>
                                                                                                                                                                                                                                                                                                                                                                                                                                    <w:div w:id="1159731367">
                                                                                                                                                                                                                                                                                                                                                                                                                                      <w:marLeft w:val="0"/>
                                                                                                                                                                                                                                                                                                                                                                                                                                      <w:marRight w:val="0"/>
                                                                                                                                                                                                                                                                                                                                                                                                                                      <w:marTop w:val="0"/>
                                                                                                                                                                                                                                                                                                                                                                                                                                      <w:marBottom w:val="0"/>
                                                                                                                                                                                                                                                                                                                                                                                                                                      <w:divBdr>
                                                                                                                                                                                                                                                                                                                                                                                                                                        <w:top w:val="none" w:sz="0" w:space="0" w:color="auto"/>
                                                                                                                                                                                                                                                                                                                                                                                                                                        <w:left w:val="none" w:sz="0" w:space="0" w:color="auto"/>
                                                                                                                                                                                                                                                                                                                                                                                                                                        <w:bottom w:val="none" w:sz="0" w:space="0" w:color="auto"/>
                                                                                                                                                                                                                                                                                                                                                                                                                                        <w:right w:val="none" w:sz="0" w:space="0" w:color="auto"/>
                                                                                                                                                                                                                                                                                                                                                                                                                                      </w:divBdr>
                                                                                                                                                                                                                                                                                                                                                                                                                                      <w:divsChild>
                                                                                                                                                                                                                                                                                                                                                                                                                                        <w:div w:id="653875298">
                                                                                                                                                                                                                                                                                                                                                                                                                                          <w:marLeft w:val="0"/>
                                                                                                                                                                                                                                                                                                                                                                                                                                          <w:marRight w:val="0"/>
                                                                                                                                                                                                                                                                                                                                                                                                                                          <w:marTop w:val="0"/>
                                                                                                                                                                                                                                                                                                                                                                                                                                          <w:marBottom w:val="0"/>
                                                                                                                                                                                                                                                                                                                                                                                                                                          <w:divBdr>
                                                                                                                                                                                                                                                                                                                                                                                                                                            <w:top w:val="none" w:sz="0" w:space="0" w:color="auto"/>
                                                                                                                                                                                                                                                                                                                                                                                                                                            <w:left w:val="none" w:sz="0" w:space="0" w:color="auto"/>
                                                                                                                                                                                                                                                                                                                                                                                                                                            <w:bottom w:val="none" w:sz="0" w:space="0" w:color="auto"/>
                                                                                                                                                                                                                                                                                                                                                                                                                                            <w:right w:val="none" w:sz="0" w:space="0" w:color="auto"/>
                                                                                                                                                                                                                                                                                                                                                                                                                                          </w:divBdr>
                                                                                                                                                                                                                                                                                                                                                                                                                                          <w:divsChild>
                                                                                                                                                                                                                                                                                                                                                                                                                                            <w:div w:id="1654481050">
                                                                                                                                                                                                                                                                                                                                                                                                                                              <w:marLeft w:val="0"/>
                                                                                                                                                                                                                                                                                                                                                                                                                                              <w:marRight w:val="0"/>
                                                                                                                                                                                                                                                                                                                                                                                                                                              <w:marTop w:val="0"/>
                                                                                                                                                                                                                                                                                                                                                                                                                                              <w:marBottom w:val="0"/>
                                                                                                                                                                                                                                                                                                                                                                                                                                              <w:divBdr>
                                                                                                                                                                                                                                                                                                                                                                                                                                                <w:top w:val="none" w:sz="0" w:space="0" w:color="auto"/>
                                                                                                                                                                                                                                                                                                                                                                                                                                                <w:left w:val="none" w:sz="0" w:space="0" w:color="auto"/>
                                                                                                                                                                                                                                                                                                                                                                                                                                                <w:bottom w:val="none" w:sz="0" w:space="0" w:color="auto"/>
                                                                                                                                                                                                                                                                                                                                                                                                                                                <w:right w:val="none" w:sz="0" w:space="0" w:color="auto"/>
                                                                                                                                                                                                                                                                                                                                                                                                                                              </w:divBdr>
                                                                                                                                                                                                                                                                                                                                                                                                                                              <w:divsChild>
                                                                                                                                                                                                                                                                                                                                                                                                                                                <w:div w:id="1434981396">
                                                                                                                                                                                                                                                                                                                                                                                                                                                  <w:marLeft w:val="0"/>
                                                                                                                                                                                                                                                                                                                                                                                                                                                  <w:marRight w:val="0"/>
                                                                                                                                                                                                                                                                                                                                                                                                                                                  <w:marTop w:val="0"/>
                                                                                                                                                                                                                                                                                                                                                                                                                                                  <w:marBottom w:val="0"/>
                                                                                                                                                                                                                                                                                                                                                                                                                                                  <w:divBdr>
                                                                                                                                                                                                                                                                                                                                                                                                                                                    <w:top w:val="none" w:sz="0" w:space="0" w:color="auto"/>
                                                                                                                                                                                                                                                                                                                                                                                                                                                    <w:left w:val="none" w:sz="0" w:space="0" w:color="auto"/>
                                                                                                                                                                                                                                                                                                                                                                                                                                                    <w:bottom w:val="none" w:sz="0" w:space="0" w:color="auto"/>
                                                                                                                                                                                                                                                                                                                                                                                                                                                    <w:right w:val="none" w:sz="0" w:space="0" w:color="auto"/>
                                                                                                                                                                                                                                                                                                                                                                                                                                                  </w:divBdr>
                                                                                                                                                                                                                                                                                                                                                                                                                                                  <w:divsChild>
                                                                                                                                                                                                                                                                                                                                                                                                                                                    <w:div w:id="259261582">
                                                                                                                                                                                                                                                                                                                                                                                                                                                      <w:marLeft w:val="0"/>
                                                                                                                                                                                                                                                                                                                                                                                                                                                      <w:marRight w:val="0"/>
                                                                                                                                                                                                                                                                                                                                                                                                                                                      <w:marTop w:val="0"/>
                                                                                                                                                                                                                                                                                                                                                                                                                                                      <w:marBottom w:val="0"/>
                                                                                                                                                                                                                                                                                                                                                                                                                                                      <w:divBdr>
                                                                                                                                                                                                                                                                                                                                                                                                                                                        <w:top w:val="none" w:sz="0" w:space="0" w:color="auto"/>
                                                                                                                                                                                                                                                                                                                                                                                                                                                        <w:left w:val="none" w:sz="0" w:space="0" w:color="auto"/>
                                                                                                                                                                                                                                                                                                                                                                                                                                                        <w:bottom w:val="none" w:sz="0" w:space="0" w:color="auto"/>
                                                                                                                                                                                                                                                                                                                                                                                                                                                        <w:right w:val="none" w:sz="0" w:space="0" w:color="auto"/>
                                                                                                                                                                                                                                                                                                                                                                                                                                                      </w:divBdr>
                                                                                                                                                                                                                                                                                                                                                                                                                                                      <w:divsChild>
                                                                                                                                                                                                                                                                                                                                                                                                                                                        <w:div w:id="1464886903">
                                                                                                                                                                                                                                                                                                                                                                                                                                                          <w:marLeft w:val="0"/>
                                                                                                                                                                                                                                                                                                                                                                                                                                                          <w:marRight w:val="0"/>
                                                                                                                                                                                                                                                                                                                                                                                                                                                          <w:marTop w:val="0"/>
                                                                                                                                                                                                                                                                                                                                                                                                                                                          <w:marBottom w:val="0"/>
                                                                                                                                                                                                                                                                                                                                                                                                                                                          <w:divBdr>
                                                                                                                                                                                                                                                                                                                                                                                                                                                            <w:top w:val="none" w:sz="0" w:space="0" w:color="auto"/>
                                                                                                                                                                                                                                                                                                                                                                                                                                                            <w:left w:val="none" w:sz="0" w:space="0" w:color="auto"/>
                                                                                                                                                                                                                                                                                                                                                                                                                                                            <w:bottom w:val="none" w:sz="0" w:space="0" w:color="auto"/>
                                                                                                                                                                                                                                                                                                                                                                                                                                                            <w:right w:val="none" w:sz="0" w:space="0" w:color="auto"/>
                                                                                                                                                                                                                                                                                                                                                                                                                                                          </w:divBdr>
                                                                                                                                                                                                                                                                                                                                                                                                                                                          <w:divsChild>
                                                                                                                                                                                                                                                                                                                                                                                                                                                            <w:div w:id="513302937">
                                                                                                                                                                                                                                                                                                                                                                                                                                                              <w:marLeft w:val="0"/>
                                                                                                                                                                                                                                                                                                                                                                                                                                                              <w:marRight w:val="0"/>
                                                                                                                                                                                                                                                                                                                                                                                                                                                              <w:marTop w:val="0"/>
                                                                                                                                                                                                                                                                                                                                                                                                                                                              <w:marBottom w:val="0"/>
                                                                                                                                                                                                                                                                                                                                                                                                                                                              <w:divBdr>
                                                                                                                                                                                                                                                                                                                                                                                                                                                                <w:top w:val="none" w:sz="0" w:space="0" w:color="auto"/>
                                                                                                                                                                                                                                                                                                                                                                                                                                                                <w:left w:val="none" w:sz="0" w:space="0" w:color="auto"/>
                                                                                                                                                                                                                                                                                                                                                                                                                                                                <w:bottom w:val="none" w:sz="0" w:space="0" w:color="auto"/>
                                                                                                                                                                                                                                                                                                                                                                                                                                                                <w:right w:val="none" w:sz="0" w:space="0" w:color="auto"/>
                                                                                                                                                                                                                                                                                                                                                                                                                                                              </w:divBdr>
                                                                                                                                                                                                                                                                                                                                                                                                                                                              <w:divsChild>
                                                                                                                                                                                                                                                                                                                                                                                                                                                                <w:div w:id="1428578542">
                                                                                                                                                                                                                                                                                                                                                                                                                                                                  <w:marLeft w:val="0"/>
                                                                                                                                                                                                                                                                                                                                                                                                                                                                  <w:marRight w:val="0"/>
                                                                                                                                                                                                                                                                                                                                                                                                                                                                  <w:marTop w:val="0"/>
                                                                                                                                                                                                                                                                                                                                                                                                                                                                  <w:marBottom w:val="0"/>
                                                                                                                                                                                                                                                                                                                                                                                                                                                                  <w:divBdr>
                                                                                                                                                                                                                                                                                                                                                                                                                                                                    <w:top w:val="none" w:sz="0" w:space="0" w:color="auto"/>
                                                                                                                                                                                                                                                                                                                                                                                                                                                                    <w:left w:val="none" w:sz="0" w:space="0" w:color="auto"/>
                                                                                                                                                                                                                                                                                                                                                                                                                                                                    <w:bottom w:val="none" w:sz="0" w:space="0" w:color="auto"/>
                                                                                                                                                                                                                                                                                                                                                                                                                                                                    <w:right w:val="none" w:sz="0" w:space="0" w:color="auto"/>
                                                                                                                                                                                                                                                                                                                                                                                                                                                                  </w:divBdr>
                                                                                                                                                                                                                                                                                                                                                                                                                                                                  <w:divsChild>
                                                                                                                                                                                                                                                                                                                                                                                                                                                                    <w:div w:id="29452374">
                                                                                                                                                                                                                                                                                                                                                                                                                                                                      <w:marLeft w:val="0"/>
                                                                                                                                                                                                                                                                                                                                                                                                                                                                      <w:marRight w:val="0"/>
                                                                                                                                                                                                                                                                                                                                                                                                                                                                      <w:marTop w:val="0"/>
                                                                                                                                                                                                                                                                                                                                                                                                                                                                      <w:marBottom w:val="0"/>
                                                                                                                                                                                                                                                                                                                                                                                                                                                                      <w:divBdr>
                                                                                                                                                                                                                                                                                                                                                                                                                                                                        <w:top w:val="none" w:sz="0" w:space="0" w:color="auto"/>
                                                                                                                                                                                                                                                                                                                                                                                                                                                                        <w:left w:val="none" w:sz="0" w:space="0" w:color="auto"/>
                                                                                                                                                                                                                                                                                                                                                                                                                                                                        <w:bottom w:val="none" w:sz="0" w:space="0" w:color="auto"/>
                                                                                                                                                                                                                                                                                                                                                                                                                                                                        <w:right w:val="none" w:sz="0" w:space="0" w:color="auto"/>
                                                                                                                                                                                                                                                                                                                                                                                                                                                                      </w:divBdr>
                                                                                                                                                                                                                                                                                                                                                                                                                                                                      <w:divsChild>
                                                                                                                                                                                                                                                                                                                                                                                                                                                                        <w:div w:id="477264364">
                                                                                                                                                                                                                                                                                                                                                                                                                                                                          <w:marLeft w:val="0"/>
                                                                                                                                                                                                                                                                                                                                                                                                                                                                          <w:marRight w:val="0"/>
                                                                                                                                                                                                                                                                                                                                                                                                                                                                          <w:marTop w:val="0"/>
                                                                                                                                                                                                                                                                                                                                                                                                                                                                          <w:marBottom w:val="0"/>
                                                                                                                                                                                                                                                                                                                                                                                                                                                                          <w:divBdr>
                                                                                                                                                                                                                                                                                                                                                                                                                                                                            <w:top w:val="none" w:sz="0" w:space="0" w:color="auto"/>
                                                                                                                                                                                                                                                                                                                                                                                                                                                                            <w:left w:val="none" w:sz="0" w:space="0" w:color="auto"/>
                                                                                                                                                                                                                                                                                                                                                                                                                                                                            <w:bottom w:val="none" w:sz="0" w:space="0" w:color="auto"/>
                                                                                                                                                                                                                                                                                                                                                                                                                                                                            <w:right w:val="none" w:sz="0" w:space="0" w:color="auto"/>
                                                                                                                                                                                                                                                                                                                                                                                                                                                                          </w:divBdr>
                                                                                                                                                                                                                                                                                                                                                                                                                                                                          <w:divsChild>
                                                                                                                                                                                                                                                                                                                                                                                                                                                                            <w:div w:id="989095987">
                                                                                                                                                                                                                                                                                                                                                                                                                                                                              <w:marLeft w:val="0"/>
                                                                                                                                                                                                                                                                                                                                                                                                                                                                              <w:marRight w:val="0"/>
                                                                                                                                                                                                                                                                                                                                                                                                                                                                              <w:marTop w:val="0"/>
                                                                                                                                                                                                                                                                                                                                                                                                                                                                              <w:marBottom w:val="0"/>
                                                                                                                                                                                                                                                                                                                                                                                                                                                                              <w:divBdr>
                                                                                                                                                                                                                                                                                                                                                                                                                                                                                <w:top w:val="none" w:sz="0" w:space="0" w:color="auto"/>
                                                                                                                                                                                                                                                                                                                                                                                                                                                                                <w:left w:val="none" w:sz="0" w:space="0" w:color="auto"/>
                                                                                                                                                                                                                                                                                                                                                                                                                                                                                <w:bottom w:val="none" w:sz="0" w:space="0" w:color="auto"/>
                                                                                                                                                                                                                                                                                                                                                                                                                                                                                <w:right w:val="none" w:sz="0" w:space="0" w:color="auto"/>
                                                                                                                                                                                                                                                                                                                                                                                                                                                                              </w:divBdr>
                                                                                                                                                                                                                                                                                                                                                                                                                                                                              <w:divsChild>
                                                                                                                                                                                                                                                                                                                                                                                                                                                                                <w:div w:id="840051273">
                                                                                                                                                                                                                                                                                                                                                                                                                                                                                  <w:marLeft w:val="0"/>
                                                                                                                                                                                                                                                                                                                                                                                                                                                                                  <w:marRight w:val="0"/>
                                                                                                                                                                                                                                                                                                                                                                                                                                                                                  <w:marTop w:val="0"/>
                                                                                                                                                                                                                                                                                                                                                                                                                                                                                  <w:marBottom w:val="0"/>
                                                                                                                                                                                                                                                                                                                                                                                                                                                                                  <w:divBdr>
                                                                                                                                                                                                                                                                                                                                                                                                                                                                                    <w:top w:val="none" w:sz="0" w:space="0" w:color="auto"/>
                                                                                                                                                                                                                                                                                                                                                                                                                                                                                    <w:left w:val="none" w:sz="0" w:space="0" w:color="auto"/>
                                                                                                                                                                                                                                                                                                                                                                                                                                                                                    <w:bottom w:val="none" w:sz="0" w:space="0" w:color="auto"/>
                                                                                                                                                                                                                                                                                                                                                                                                                                                                                    <w:right w:val="none" w:sz="0" w:space="0" w:color="auto"/>
                                                                                                                                                                                                                                                                                                                                                                                                                                                                                  </w:divBdr>
                                                                                                                                                                                                                                                                                                                                                                                                                                                                                  <w:divsChild>
                                                                                                                                                                                                                                                                                                                                                                                                                                                                                    <w:div w:id="1504055045">
                                                                                                                                                                                                                                                                                                                                                                                                                                                                                      <w:marLeft w:val="0"/>
                                                                                                                                                                                                                                                                                                                                                                                                                                                                                      <w:marRight w:val="0"/>
                                                                                                                                                                                                                                                                                                                                                                                                                                                                                      <w:marTop w:val="0"/>
                                                                                                                                                                                                                                                                                                                                                                                                                                                                                      <w:marBottom w:val="0"/>
                                                                                                                                                                                                                                                                                                                                                                                                                                                                                      <w:divBdr>
                                                                                                                                                                                                                                                                                                                                                                                                                                                                                        <w:top w:val="none" w:sz="0" w:space="0" w:color="auto"/>
                                                                                                                                                                                                                                                                                                                                                                                                                                                                                        <w:left w:val="none" w:sz="0" w:space="0" w:color="auto"/>
                                                                                                                                                                                                                                                                                                                                                                                                                                                                                        <w:bottom w:val="none" w:sz="0" w:space="0" w:color="auto"/>
                                                                                                                                                                                                                                                                                                                                                                                                                                                                                        <w:right w:val="none" w:sz="0" w:space="0" w:color="auto"/>
                                                                                                                                                                                                                                                                                                                                                                                                                                                                                      </w:divBdr>
                                                                                                                                                                                                                                                                                                                                                                                                                                                                                      <w:divsChild>
                                                                                                                                                                                                                                                                                                                                                                                                                                                                                        <w:div w:id="878783323">
                                                                                                                                                                                                                                                                                                                                                                                                                                                                                          <w:marLeft w:val="0"/>
                                                                                                                                                                                                                                                                                                                                                                                                                                                                                          <w:marRight w:val="0"/>
                                                                                                                                                                                                                                                                                                                                                                                                                                                                                          <w:marTop w:val="0"/>
                                                                                                                                                                                                                                                                                                                                                                                                                                                                                          <w:marBottom w:val="0"/>
                                                                                                                                                                                                                                                                                                                                                                                                                                                                                          <w:divBdr>
                                                                                                                                                                                                                                                                                                                                                                                                                                                                                            <w:top w:val="none" w:sz="0" w:space="0" w:color="auto"/>
                                                                                                                                                                                                                                                                                                                                                                                                                                                                                            <w:left w:val="none" w:sz="0" w:space="0" w:color="auto"/>
                                                                                                                                                                                                                                                                                                                                                                                                                                                                                            <w:bottom w:val="none" w:sz="0" w:space="0" w:color="auto"/>
                                                                                                                                                                                                                                                                                                                                                                                                                                                                                            <w:right w:val="none" w:sz="0" w:space="0" w:color="auto"/>
                                                                                                                                                                                                                                                                                                                                                                                                                                                                                          </w:divBdr>
                                                                                                                                                                                                                                                                                                                                                                                                                                                                                          <w:divsChild>
                                                                                                                                                                                                                                                                                                                                                                                                                                                                                            <w:div w:id="1212034796">
                                                                                                                                                                                                                                                                                                                                                                                                                                                                                              <w:marLeft w:val="0"/>
                                                                                                                                                                                                                                                                                                                                                                                                                                                                                              <w:marRight w:val="0"/>
                                                                                                                                                                                                                                                                                                                                                                                                                                                                                              <w:marTop w:val="0"/>
                                                                                                                                                                                                                                                                                                                                                                                                                                                                                              <w:marBottom w:val="0"/>
                                                                                                                                                                                                                                                                                                                                                                                                                                                                                              <w:divBdr>
                                                                                                                                                                                                                                                                                                                                                                                                                                                                                                <w:top w:val="none" w:sz="0" w:space="0" w:color="auto"/>
                                                                                                                                                                                                                                                                                                                                                                                                                                                                                                <w:left w:val="none" w:sz="0" w:space="0" w:color="auto"/>
                                                                                                                                                                                                                                                                                                                                                                                                                                                                                                <w:bottom w:val="none" w:sz="0" w:space="0" w:color="auto"/>
                                                                                                                                                                                                                                                                                                                                                                                                                                                                                                <w:right w:val="none" w:sz="0" w:space="0" w:color="auto"/>
                                                                                                                                                                                                                                                                                                                                                                                                                                                                                              </w:divBdr>
                                                                                                                                                                                                                                                                                                                                                                                                                                                                                              <w:divsChild>
                                                                                                                                                                                                                                                                                                                                                                                                                                                                                                <w:div w:id="1482311236">
                                                                                                                                                                                                                                                                                                                                                                                                                                                                                                  <w:marLeft w:val="0"/>
                                                                                                                                                                                                                                                                                                                                                                                                                                                                                                  <w:marRight w:val="0"/>
                                                                                                                                                                                                                                                                                                                                                                                                                                                                                                  <w:marTop w:val="0"/>
                                                                                                                                                                                                                                                                                                                                                                                                                                                                                                  <w:marBottom w:val="0"/>
                                                                                                                                                                                                                                                                                                                                                                                                                                                                                                  <w:divBdr>
                                                                                                                                                                                                                                                                                                                                                                                                                                                                                                    <w:top w:val="none" w:sz="0" w:space="0" w:color="auto"/>
                                                                                                                                                                                                                                                                                                                                                                                                                                                                                                    <w:left w:val="none" w:sz="0" w:space="0" w:color="auto"/>
                                                                                                                                                                                                                                                                                                                                                                                                                                                                                                    <w:bottom w:val="none" w:sz="0" w:space="0" w:color="auto"/>
                                                                                                                                                                                                                                                                                                                                                                                                                                                                                                    <w:right w:val="none" w:sz="0" w:space="0" w:color="auto"/>
                                                                                                                                                                                                                                                                                                                                                                                                                                                                                                  </w:divBdr>
                                                                                                                                                                                                                                                                                                                                                                                                                                                                                                  <w:divsChild>
                                                                                                                                                                                                                                                                                                                                                                                                                                                                                                    <w:div w:id="219177142">
                                                                                                                                                                                                                                                                                                                                                                                                                                                                                                      <w:marLeft w:val="0"/>
                                                                                                                                                                                                                                                                                                                                                                                                                                                                                                      <w:marRight w:val="0"/>
                                                                                                                                                                                                                                                                                                                                                                                                                                                                                                      <w:marTop w:val="0"/>
                                                                                                                                                                                                                                                                                                                                                                                                                                                                                                      <w:marBottom w:val="0"/>
                                                                                                                                                                                                                                                                                                                                                                                                                                                                                                      <w:divBdr>
                                                                                                                                                                                                                                                                                                                                                                                                                                                                                                        <w:top w:val="none" w:sz="0" w:space="0" w:color="auto"/>
                                                                                                                                                                                                                                                                                                                                                                                                                                                                                                        <w:left w:val="none" w:sz="0" w:space="0" w:color="auto"/>
                                                                                                                                                                                                                                                                                                                                                                                                                                                                                                        <w:bottom w:val="none" w:sz="0" w:space="0" w:color="auto"/>
                                                                                                                                                                                                                                                                                                                                                                                                                                                                                                        <w:right w:val="none" w:sz="0" w:space="0" w:color="auto"/>
                                                                                                                                                                                                                                                                                                                                                                                                                                                                                                      </w:divBdr>
                                                                                                                                                                                                                                                                                                                                                                                                                                                                                                      <w:divsChild>
                                                                                                                                                                                                                                                                                                                                                                                                                                                                                                        <w:div w:id="2072924843">
                                                                                                                                                                                                                                                                                                                                                                                                                                                                                                          <w:marLeft w:val="0"/>
                                                                                                                                                                                                                                                                                                                                                                                                                                                                                                          <w:marRight w:val="0"/>
                                                                                                                                                                                                                                                                                                                                                                                                                                                                                                          <w:marTop w:val="0"/>
                                                                                                                                                                                                                                                                                                                                                                                                                                                                                                          <w:marBottom w:val="0"/>
                                                                                                                                                                                                                                                                                                                                                                                                                                                                                                          <w:divBdr>
                                                                                                                                                                                                                                                                                                                                                                                                                                                                                                            <w:top w:val="none" w:sz="0" w:space="0" w:color="auto"/>
                                                                                                                                                                                                                                                                                                                                                                                                                                                                                                            <w:left w:val="none" w:sz="0" w:space="0" w:color="auto"/>
                                                                                                                                                                                                                                                                                                                                                                                                                                                                                                            <w:bottom w:val="none" w:sz="0" w:space="0" w:color="auto"/>
                                                                                                                                                                                                                                                                                                                                                                                                                                                                                                            <w:right w:val="none" w:sz="0" w:space="0" w:color="auto"/>
                                                                                                                                                                                                                                                                                                                                                                                                                                                                                                          </w:divBdr>
                                                                                                                                                                                                                                                                                                                                                                                                                                                                                                          <w:divsChild>
                                                                                                                                                                                                                                                                                                                                                                                                                                                                                                            <w:div w:id="566307302">
                                                                                                                                                                                                                                                                                                                                                                                                                                                                                                              <w:marLeft w:val="0"/>
                                                                                                                                                                                                                                                                                                                                                                                                                                                                                                              <w:marRight w:val="0"/>
                                                                                                                                                                                                                                                                                                                                                                                                                                                                                                              <w:marTop w:val="0"/>
                                                                                                                                                                                                                                                                                                                                                                                                                                                                                                              <w:marBottom w:val="0"/>
                                                                                                                                                                                                                                                                                                                                                                                                                                                                                                              <w:divBdr>
                                                                                                                                                                                                                                                                                                                                                                                                                                                                                                                <w:top w:val="none" w:sz="0" w:space="0" w:color="auto"/>
                                                                                                                                                                                                                                                                                                                                                                                                                                                                                                                <w:left w:val="none" w:sz="0" w:space="0" w:color="auto"/>
                                                                                                                                                                                                                                                                                                                                                                                                                                                                                                                <w:bottom w:val="none" w:sz="0" w:space="0" w:color="auto"/>
                                                                                                                                                                                                                                                                                                                                                                                                                                                                                                                <w:right w:val="none" w:sz="0" w:space="0" w:color="auto"/>
                                                                                                                                                                                                                                                                                                                                                                                                                                                                                                              </w:divBdr>
                                                                                                                                                                                                                                                                                                                                                                                                                                                                                                              <w:divsChild>
                                                                                                                                                                                                                                                                                                                                                                                                                                                                                                                <w:div w:id="1328754569">
                                                                                                                                                                                                                                                                                                                                                                                                                                                                                                                  <w:marLeft w:val="0"/>
                                                                                                                                                                                                                                                                                                                                                                                                                                                                                                                  <w:marRight w:val="0"/>
                                                                                                                                                                                                                                                                                                                                                                                                                                                                                                                  <w:marTop w:val="0"/>
                                                                                                                                                                                                                                                                                                                                                                                                                                                                                                                  <w:marBottom w:val="0"/>
                                                                                                                                                                                                                                                                                                                                                                                                                                                                                                                  <w:divBdr>
                                                                                                                                                                                                                                                                                                                                                                                                                                                                                                                    <w:top w:val="none" w:sz="0" w:space="0" w:color="auto"/>
                                                                                                                                                                                                                                                                                                                                                                                                                                                                                                                    <w:left w:val="none" w:sz="0" w:space="0" w:color="auto"/>
                                                                                                                                                                                                                                                                                                                                                                                                                                                                                                                    <w:bottom w:val="none" w:sz="0" w:space="0" w:color="auto"/>
                                                                                                                                                                                                                                                                                                                                                                                                                                                                                                                    <w:right w:val="none" w:sz="0" w:space="0" w:color="auto"/>
                                                                                                                                                                                                                                                                                                                                                                                                                                                                                                                  </w:divBdr>
                                                                                                                                                                                                                                                                                                                                                                                                                                                                                                                  <w:divsChild>
                                                                                                                                                                                                                                                                                                                                                                                                                                                                                                                    <w:div w:id="1959290903">
                                                                                                                                                                                                                                                                                                                                                                                                                                                                                                                      <w:marLeft w:val="0"/>
                                                                                                                                                                                                                                                                                                                                                                                                                                                                                                                      <w:marRight w:val="0"/>
                                                                                                                                                                                                                                                                                                                                                                                                                                                                                                                      <w:marTop w:val="0"/>
                                                                                                                                                                                                                                                                                                                                                                                                                                                                                                                      <w:marBottom w:val="0"/>
                                                                                                                                                                                                                                                                                                                                                                                                                                                                                                                      <w:divBdr>
                                                                                                                                                                                                                                                                                                                                                                                                                                                                                                                        <w:top w:val="none" w:sz="0" w:space="0" w:color="auto"/>
                                                                                                                                                                                                                                                                                                                                                                                                                                                                                                                        <w:left w:val="none" w:sz="0" w:space="0" w:color="auto"/>
                                                                                                                                                                                                                                                                                                                                                                                                                                                                                                                        <w:bottom w:val="none" w:sz="0" w:space="0" w:color="auto"/>
                                                                                                                                                                                                                                                                                                                                                                                                                                                                                                                        <w:right w:val="none" w:sz="0" w:space="0" w:color="auto"/>
                                                                                                                                                                                                                                                                                                                                                                                                                                                                                                                      </w:divBdr>
                                                                                                                                                                                                                                                                                                                                                                                                                                                                                                                      <w:divsChild>
                                                                                                                                                                                                                                                                                                                                                                                                                                                                                                                        <w:div w:id="766466044">
                                                                                                                                                                                                                                                                                                                                                                                                                                                                                                                          <w:marLeft w:val="0"/>
                                                                                                                                                                                                                                                                                                                                                                                                                                                                                                                          <w:marRight w:val="0"/>
                                                                                                                                                                                                                                                                                                                                                                                                                                                                                                                          <w:marTop w:val="0"/>
                                                                                                                                                                                                                                                                                                                                                                                                                                                                                                                          <w:marBottom w:val="0"/>
                                                                                                                                                                                                                                                                                                                                                                                                                                                                                                                          <w:divBdr>
                                                                                                                                                                                                                                                                                                                                                                                                                                                                                                                            <w:top w:val="none" w:sz="0" w:space="0" w:color="auto"/>
                                                                                                                                                                                                                                                                                                                                                                                                                                                                                                                            <w:left w:val="none" w:sz="0" w:space="0" w:color="auto"/>
                                                                                                                                                                                                                                                                                                                                                                                                                                                                                                                            <w:bottom w:val="none" w:sz="0" w:space="0" w:color="auto"/>
                                                                                                                                                                                                                                                                                                                                                                                                                                                                                                                            <w:right w:val="none" w:sz="0" w:space="0" w:color="auto"/>
                                                                                                                                                                                                                                                                                                                                                                                                                                                                                                                          </w:divBdr>
                                                                                                                                                                                                                                                                                                                                                                                                                                                                                                                          <w:divsChild>
                                                                                                                                                                                                                                                                                                                                                                                                                                                                                                                            <w:div w:id="1805342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442257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shinetsu.co.jp/e/" TargetMode="External"/><Relationship Id="rId18" Type="http://schemas.openxmlformats.org/officeDocument/2006/relationships/header" Target="header2.xml"/><Relationship Id="rId26" Type="http://schemas.openxmlformats.org/officeDocument/2006/relationships/image" Target="media/image3.emf"/><Relationship Id="rId39" Type="http://schemas.openxmlformats.org/officeDocument/2006/relationships/hyperlink" Target="http://www.oecd.org/env/hazard/data%20" TargetMode="External"/><Relationship Id="rId21" Type="http://schemas.openxmlformats.org/officeDocument/2006/relationships/header" Target="header3.xml"/><Relationship Id="rId34" Type="http://schemas.openxmlformats.org/officeDocument/2006/relationships/hyperlink" Target="http://www.oecd.org/env/hazard/data%20" TargetMode="External"/><Relationship Id="rId42" Type="http://schemas.openxmlformats.org/officeDocument/2006/relationships/hyperlink" Target="http://webnet.oecd.org/HPV/UI/SIDS_Details.aspx?Key=3f0e5101-019d-4f22-b27c-69bebf217adb&amp;idx=0" TargetMode="External"/><Relationship Id="rId47" Type="http://schemas.openxmlformats.org/officeDocument/2006/relationships/hyperlink" Target="http://www.oecd.org/env/hazard/data%20" TargetMode="External"/><Relationship Id="rId50" Type="http://schemas.openxmlformats.org/officeDocument/2006/relationships/hyperlink" Target="http://www.oecd.org/env/hazard/data%20" TargetMode="External"/><Relationship Id="rId55" Type="http://schemas.openxmlformats.org/officeDocument/2006/relationships/hyperlink" Target="http://www.oecd.org/env/hazard/data%20" TargetMode="External"/><Relationship Id="rId63" Type="http://schemas.openxmlformats.org/officeDocument/2006/relationships/hyperlink" Target="http://www.oecd.org/env/hazard/data%20"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oecd.org/env/hazard/data%20" TargetMode="External"/><Relationship Id="rId20" Type="http://schemas.openxmlformats.org/officeDocument/2006/relationships/footer" Target="footer2.xml"/><Relationship Id="rId29" Type="http://schemas.openxmlformats.org/officeDocument/2006/relationships/image" Target="media/image6.png"/><Relationship Id="rId41" Type="http://schemas.openxmlformats.org/officeDocument/2006/relationships/hyperlink" Target="http://www.oecd.org/env/hazard/data%20" TargetMode="External"/><Relationship Id="rId54" Type="http://schemas.openxmlformats.org/officeDocument/2006/relationships/hyperlink" Target="http://www.oecd.org/env/hazard/data%20" TargetMode="External"/><Relationship Id="rId62" Type="http://schemas.openxmlformats.org/officeDocument/2006/relationships/hyperlink" Target="http://www.oecd.org/env/hazard/data%2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esilicones.com" TargetMode="External"/><Relationship Id="rId24" Type="http://schemas.openxmlformats.org/officeDocument/2006/relationships/hyperlink" Target="http://www.oecd.org/env/hazard/data%20" TargetMode="External"/><Relationship Id="rId32" Type="http://schemas.openxmlformats.org/officeDocument/2006/relationships/hyperlink" Target="http://www.oecd.org/env/hazard/data%20" TargetMode="External"/><Relationship Id="rId37" Type="http://schemas.openxmlformats.org/officeDocument/2006/relationships/hyperlink" Target="http://www.oecd.org/env/hazard/data%20" TargetMode="External"/><Relationship Id="rId40" Type="http://schemas.openxmlformats.org/officeDocument/2006/relationships/hyperlink" Target="http://www.oecd.org/env/hazard/data%20" TargetMode="External"/><Relationship Id="rId45" Type="http://schemas.openxmlformats.org/officeDocument/2006/relationships/hyperlink" Target="http://www.oecd.org/env/hazard/data%20" TargetMode="External"/><Relationship Id="rId53" Type="http://schemas.openxmlformats.org/officeDocument/2006/relationships/hyperlink" Target="http://www.oecd.org/env/hazard/data%20" TargetMode="External"/><Relationship Id="rId58" Type="http://schemas.openxmlformats.org/officeDocument/2006/relationships/hyperlink" Target="http://www.oecd.org/env/hazard/data%20" TargetMode="External"/><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oecd.org/env/hazard/data%20" TargetMode="External"/><Relationship Id="rId23" Type="http://schemas.openxmlformats.org/officeDocument/2006/relationships/image" Target="media/image2.png"/><Relationship Id="rId28" Type="http://schemas.openxmlformats.org/officeDocument/2006/relationships/image" Target="media/image5.png"/><Relationship Id="rId36" Type="http://schemas.openxmlformats.org/officeDocument/2006/relationships/hyperlink" Target="http://webnet.oecd.org/HPV/UI/SIDS_Details.aspx?Key=3f0e5101-019d-4f22-b27c-69bebf217adb&amp;idx=0" TargetMode="External"/><Relationship Id="rId49" Type="http://schemas.openxmlformats.org/officeDocument/2006/relationships/hyperlink" Target="http://www.oecd.org/env/hazard/data%20" TargetMode="External"/><Relationship Id="rId57" Type="http://schemas.openxmlformats.org/officeDocument/2006/relationships/hyperlink" Target="http://www.oecd.org/env/hazard/data%20" TargetMode="External"/><Relationship Id="rId61" Type="http://schemas.openxmlformats.org/officeDocument/2006/relationships/hyperlink" Target="http://www.oecd.org/env/hazard/data%20" TargetMode="External"/><Relationship Id="rId10" Type="http://schemas.openxmlformats.org/officeDocument/2006/relationships/hyperlink" Target="http://www.dowcorning.com" TargetMode="External"/><Relationship Id="rId19" Type="http://schemas.openxmlformats.org/officeDocument/2006/relationships/footer" Target="footer1.xml"/><Relationship Id="rId31" Type="http://schemas.openxmlformats.org/officeDocument/2006/relationships/image" Target="media/image8.emf"/><Relationship Id="rId44" Type="http://schemas.openxmlformats.org/officeDocument/2006/relationships/hyperlink" Target="http://www.oecd.org/env/hazard/data%20" TargetMode="External"/><Relationship Id="rId52" Type="http://schemas.openxmlformats.org/officeDocument/2006/relationships/hyperlink" Target="http://www.oecd.org/env/hazard/data%20" TargetMode="External"/><Relationship Id="rId60" Type="http://schemas.openxmlformats.org/officeDocument/2006/relationships/hyperlink" Target="http://www.oecd.org/env/hazard/data%20" TargetMode="External"/><Relationship Id="rId65"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degussa.com/en/home.html" TargetMode="External"/><Relationship Id="rId14" Type="http://schemas.openxmlformats.org/officeDocument/2006/relationships/hyperlink" Target="http://www.wackersilicones.com" TargetMode="External"/><Relationship Id="rId22" Type="http://schemas.openxmlformats.org/officeDocument/2006/relationships/image" Target="media/image1.png"/><Relationship Id="rId27" Type="http://schemas.openxmlformats.org/officeDocument/2006/relationships/image" Target="media/image4.emf"/><Relationship Id="rId30" Type="http://schemas.openxmlformats.org/officeDocument/2006/relationships/image" Target="media/image7.png"/><Relationship Id="rId35" Type="http://schemas.openxmlformats.org/officeDocument/2006/relationships/hyperlink" Target="http://www.oecd.org/env/hazard/data%20" TargetMode="External"/><Relationship Id="rId43" Type="http://schemas.openxmlformats.org/officeDocument/2006/relationships/hyperlink" Target="http://www.oecd.org/env/hazard/data%20" TargetMode="External"/><Relationship Id="rId48" Type="http://schemas.openxmlformats.org/officeDocument/2006/relationships/hyperlink" Target="http://www.oecd.org/env/hazard/data%20" TargetMode="External"/><Relationship Id="rId56" Type="http://schemas.openxmlformats.org/officeDocument/2006/relationships/hyperlink" Target="http://www.oecd.org/env/hazard/data%20" TargetMode="External"/><Relationship Id="rId64" Type="http://schemas.openxmlformats.org/officeDocument/2006/relationships/hyperlink" Target="http://www.oecd.org/env/hazard/data%20" TargetMode="External"/><Relationship Id="rId8" Type="http://schemas.openxmlformats.org/officeDocument/2006/relationships/endnotes" Target="endnotes.xml"/><Relationship Id="rId51" Type="http://schemas.openxmlformats.org/officeDocument/2006/relationships/hyperlink" Target="http://www.oecd.org/env/hazard/data%20" TargetMode="External"/><Relationship Id="rId3" Type="http://schemas.openxmlformats.org/officeDocument/2006/relationships/styles" Target="styles.xml"/><Relationship Id="rId12" Type="http://schemas.openxmlformats.org/officeDocument/2006/relationships/hyperlink" Target="http://www.rhodia-silicones.com/" TargetMode="External"/><Relationship Id="rId17" Type="http://schemas.openxmlformats.org/officeDocument/2006/relationships/header" Target="header1.xml"/><Relationship Id="rId25" Type="http://schemas.openxmlformats.org/officeDocument/2006/relationships/hyperlink" Target="http://www.oecd.org/env/hazard/data%20" TargetMode="External"/><Relationship Id="rId33" Type="http://schemas.openxmlformats.org/officeDocument/2006/relationships/hyperlink" Target="http://www.oecd.org/env/hazard/data%20" TargetMode="External"/><Relationship Id="rId38" Type="http://schemas.openxmlformats.org/officeDocument/2006/relationships/hyperlink" Target="http://www.oecd.org/env/hazard/data%20" TargetMode="External"/><Relationship Id="rId46" Type="http://schemas.openxmlformats.org/officeDocument/2006/relationships/hyperlink" Target="http://www.oecd.org/env/hazard/data%20" TargetMode="External"/><Relationship Id="rId59" Type="http://schemas.openxmlformats.org/officeDocument/2006/relationships/hyperlink" Target="http://www.oecd.org/env/hazard/data%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52CE5-793E-4951-937E-E7BE34D26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39</Pages>
  <Words>14969</Words>
  <Characters>89236</Characters>
  <Application>Microsoft Office Word</Application>
  <DocSecurity>0</DocSecurity>
  <Lines>743</Lines>
  <Paragraphs>207</Paragraphs>
  <ScaleCrop>false</ScaleCrop>
  <HeadingPairs>
    <vt:vector size="2" baseType="variant">
      <vt:variant>
        <vt:lpstr>Title</vt:lpstr>
      </vt:variant>
      <vt:variant>
        <vt:i4>1</vt:i4>
      </vt:variant>
    </vt:vector>
  </HeadingPairs>
  <TitlesOfParts>
    <vt:vector size="1" baseType="lpstr">
      <vt:lpstr>COVER PAGE</vt:lpstr>
    </vt:vector>
  </TitlesOfParts>
  <Company>ECB JRC Ispra</Company>
  <LinksUpToDate>false</LinksUpToDate>
  <CharactersWithSpaces>103998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 PAGE</dc:title>
  <dc:creator>musset</dc:creator>
  <cp:lastModifiedBy>FRISON BEAU Valerie</cp:lastModifiedBy>
  <cp:revision>9</cp:revision>
  <cp:lastPrinted>2012-12-12T16:01:00Z</cp:lastPrinted>
  <dcterms:created xsi:type="dcterms:W3CDTF">2014-08-06T10:03:00Z</dcterms:created>
  <dcterms:modified xsi:type="dcterms:W3CDTF">2014-09-26T12:00:00Z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8511360d-fa73-4dff-a5f4-9920bc46b6ef</vt:lpwstr>
  </property>
  <property fmtid="{D5CDD505-2E9C-101B-9397-08002B2CF9AE}" pid="3" name="aliashBlankHTML">
    <vt:lpwstr>Dow Corning</vt:lpwstr>
  </property>
  <property fmtid="{D5CDD505-2E9C-101B-9397-08002B2CF9AE}" pid="4" name="ContentTypeId">
    <vt:lpwstr>0x01010047DB48D5B04A6641AFA3E4D14C8E8408</vt:lpwstr>
  </property>
  <property fmtid="{D5CDD505-2E9C-101B-9397-08002B2CF9AE}" pid="5" name="IamRecordType">
    <vt:lpwstr>BUSINESS SUPPORT: Administration: 0000 - Temporary Records</vt:lpwstr>
  </property>
  <property fmtid="{D5CDD505-2E9C-101B-9397-08002B2CF9AE}" pid="6" name="IAM_LGL_ENTITY">
    <vt:lpwstr>Dow Corning</vt:lpwstr>
  </property>
  <property fmtid="{D5CDD505-2E9C-101B-9397-08002B2CF9AE}" pid="7" name="IAM_SECURITY_CLASS">
    <vt:lpwstr>Non-Classified</vt:lpwstr>
  </property>
</Properties>
</file>